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CC0" w:rsidRDefault="00C113A2">
      <w:pPr>
        <w:tabs>
          <w:tab w:val="left" w:pos="1701"/>
          <w:tab w:val="right" w:pos="9923"/>
        </w:tabs>
        <w:spacing w:before="120" w:line="240" w:lineRule="auto"/>
        <w:rPr>
          <w:rFonts w:ascii="Arial" w:eastAsia="宋体" w:hAnsi="Arial"/>
          <w:b/>
          <w:sz w:val="24"/>
        </w:rPr>
      </w:pPr>
      <w:r>
        <w:rPr>
          <w:rFonts w:ascii="Arial" w:eastAsia="MS Mincho" w:hAnsi="Arial"/>
          <w:b/>
          <w:sz w:val="24"/>
          <w:lang w:val="en-GB" w:eastAsia="en-GB"/>
        </w:rPr>
        <w:t>3GPP TSG-RAN WG2 Meeting #11</w:t>
      </w:r>
      <w:r>
        <w:rPr>
          <w:rFonts w:ascii="Arial" w:eastAsia="宋体" w:hAnsi="Arial" w:hint="eastAsia"/>
          <w:b/>
          <w:sz w:val="24"/>
        </w:rPr>
        <w:t>3</w:t>
      </w:r>
      <w:r>
        <w:rPr>
          <w:rFonts w:ascii="Arial" w:eastAsia="宋体" w:hAnsi="Arial" w:hint="eastAsia"/>
          <w:b/>
          <w:sz w:val="24"/>
        </w:rPr>
        <w:t xml:space="preserve"> bis</w:t>
      </w:r>
      <w:r>
        <w:rPr>
          <w:rFonts w:ascii="Arial" w:eastAsia="MS Mincho" w:hAnsi="Arial"/>
          <w:b/>
          <w:sz w:val="24"/>
          <w:lang w:val="en-GB" w:eastAsia="en-GB"/>
        </w:rPr>
        <w:t xml:space="preserve"> electronic</w:t>
      </w:r>
      <w:r>
        <w:rPr>
          <w:rFonts w:ascii="Arial" w:eastAsia="MS Mincho" w:hAnsi="Arial"/>
          <w:b/>
          <w:sz w:val="24"/>
          <w:lang w:val="en-GB" w:eastAsia="en-GB"/>
        </w:rPr>
        <w:tab/>
      </w:r>
      <w:r w:rsidRPr="0093050A">
        <w:rPr>
          <w:rFonts w:ascii="Arial" w:eastAsia="MS Mincho" w:hAnsi="Arial"/>
          <w:b/>
          <w:sz w:val="24"/>
          <w:lang w:val="en-GB" w:eastAsia="en-GB"/>
        </w:rPr>
        <w:t>R2-</w:t>
      </w:r>
      <w:r w:rsidRPr="0093050A">
        <w:rPr>
          <w:rFonts w:ascii="Arial" w:eastAsia="MS Mincho" w:hAnsi="Arial"/>
          <w:b/>
          <w:sz w:val="24"/>
          <w:lang w:eastAsia="en-GB"/>
        </w:rPr>
        <w:t>2</w:t>
      </w:r>
      <w:r w:rsidRPr="0093050A">
        <w:rPr>
          <w:rFonts w:ascii="Arial" w:eastAsia="宋体" w:hAnsi="Arial" w:hint="eastAsia"/>
          <w:b/>
          <w:sz w:val="24"/>
        </w:rPr>
        <w:t>1</w:t>
      </w:r>
      <w:r w:rsidR="0093050A" w:rsidRPr="0093050A">
        <w:rPr>
          <w:rFonts w:ascii="Arial" w:eastAsia="宋体" w:hAnsi="Arial"/>
          <w:b/>
          <w:sz w:val="24"/>
        </w:rPr>
        <w:t>03039</w:t>
      </w:r>
    </w:p>
    <w:p w:rsidR="004B0CC0" w:rsidRDefault="00C113A2">
      <w:pPr>
        <w:tabs>
          <w:tab w:val="left" w:pos="1701"/>
          <w:tab w:val="right" w:pos="9923"/>
        </w:tabs>
        <w:spacing w:before="120" w:line="240" w:lineRule="auto"/>
        <w:rPr>
          <w:rFonts w:ascii="Arial" w:eastAsia="MS Mincho" w:hAnsi="Arial"/>
          <w:b/>
          <w:sz w:val="24"/>
          <w:lang w:val="de-DE" w:eastAsia="en-GB"/>
        </w:rPr>
      </w:pPr>
      <w:r>
        <w:rPr>
          <w:rFonts w:ascii="Arial" w:eastAsia="MS Mincho" w:hAnsi="Arial"/>
          <w:b/>
          <w:sz w:val="24"/>
          <w:lang w:val="de-DE" w:eastAsia="en-GB"/>
        </w:rPr>
        <w:t>Online, April 12 – April 20, 2021</w:t>
      </w:r>
    </w:p>
    <w:p w:rsidR="004B0CC0" w:rsidRDefault="004B0CC0">
      <w:pPr>
        <w:tabs>
          <w:tab w:val="left" w:pos="1701"/>
          <w:tab w:val="right" w:pos="9923"/>
        </w:tabs>
        <w:spacing w:before="120" w:line="240" w:lineRule="auto"/>
        <w:rPr>
          <w:rFonts w:ascii="Arial" w:eastAsia="MS Mincho" w:hAnsi="Arial"/>
          <w:b/>
          <w:sz w:val="24"/>
          <w:lang w:val="de-DE" w:eastAsia="en-GB"/>
        </w:rPr>
      </w:pPr>
    </w:p>
    <w:p w:rsidR="004B0CC0" w:rsidRDefault="00C113A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4B0CC0" w:rsidRDefault="00C113A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D56D4">
        <w:rPr>
          <w:rFonts w:ascii="Arial" w:hAnsi="Arial" w:cs="Arial"/>
          <w:b/>
          <w:bCs/>
          <w:snapToGrid w:val="0"/>
          <w:kern w:val="0"/>
          <w:sz w:val="24"/>
        </w:rPr>
        <w:t>Discussion o</w:t>
      </w:r>
      <w:r>
        <w:rPr>
          <w:rFonts w:ascii="Arial" w:hAnsi="Arial" w:cs="Arial" w:hint="eastAsia"/>
          <w:b/>
          <w:bCs/>
          <w:snapToGrid w:val="0"/>
          <w:kern w:val="0"/>
          <w:sz w:val="24"/>
        </w:rPr>
        <w:t>n eDRX for RedCap</w:t>
      </w:r>
      <w:r w:rsidR="005D56D4">
        <w:rPr>
          <w:rFonts w:ascii="Arial" w:hAnsi="Arial" w:cs="Arial"/>
          <w:b/>
          <w:bCs/>
          <w:snapToGrid w:val="0"/>
          <w:kern w:val="0"/>
          <w:sz w:val="24"/>
        </w:rPr>
        <w:t xml:space="preserve"> UE</w:t>
      </w:r>
      <w:bookmarkStart w:id="0" w:name="_GoBack"/>
      <w:bookmarkEnd w:id="0"/>
      <w:r>
        <w:rPr>
          <w:rFonts w:ascii="Arial" w:hAnsi="Arial" w:cs="Arial" w:hint="eastAsia"/>
          <w:b/>
          <w:bCs/>
          <w:snapToGrid w:val="0"/>
          <w:kern w:val="0"/>
          <w:sz w:val="24"/>
        </w:rPr>
        <w:t xml:space="preserve"> </w:t>
      </w:r>
    </w:p>
    <w:p w:rsidR="004B0CC0" w:rsidRDefault="00C113A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1" w:name="Source"/>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8.12.3.1</w:t>
      </w:r>
    </w:p>
    <w:p w:rsidR="004B0CC0" w:rsidRDefault="00C113A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4B0CC0" w:rsidRDefault="00C113A2">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Introduction</w:t>
      </w:r>
    </w:p>
    <w:p w:rsidR="004B0CC0" w:rsidRDefault="00C113A2">
      <w:pPr>
        <w:widowControl/>
        <w:overflowPunct w:val="0"/>
        <w:autoSpaceDE w:val="0"/>
        <w:autoSpaceDN w:val="0"/>
        <w:spacing w:after="120" w:line="240" w:lineRule="auto"/>
        <w:jc w:val="left"/>
        <w:rPr>
          <w:rFonts w:eastAsia="等线"/>
          <w:kern w:val="0"/>
          <w:sz w:val="22"/>
          <w:szCs w:val="22"/>
        </w:rPr>
      </w:pPr>
      <w:r>
        <w:rPr>
          <w:rFonts w:eastAsia="等线" w:hint="eastAsia"/>
          <w:kern w:val="0"/>
          <w:sz w:val="22"/>
          <w:szCs w:val="22"/>
        </w:rPr>
        <w:t xml:space="preserve">This contribution </w:t>
      </w:r>
      <w:r>
        <w:rPr>
          <w:rFonts w:eastAsia="等线" w:hint="eastAsia"/>
          <w:kern w:val="0"/>
          <w:sz w:val="22"/>
          <w:szCs w:val="22"/>
        </w:rPr>
        <w:t>provides further consideration on eDRX for RedCap UE bases on the updated eDRX objects agreed in RAN#91e[3]:</w:t>
      </w:r>
    </w:p>
    <w:tbl>
      <w:tblPr>
        <w:tblStyle w:val="af5"/>
        <w:tblW w:w="0" w:type="auto"/>
        <w:tblLook w:val="04A0" w:firstRow="1" w:lastRow="0" w:firstColumn="1" w:lastColumn="0" w:noHBand="0" w:noVBand="1"/>
      </w:tblPr>
      <w:tblGrid>
        <w:gridCol w:w="9628"/>
      </w:tblGrid>
      <w:tr w:rsidR="004B0CC0">
        <w:tc>
          <w:tcPr>
            <w:tcW w:w="9854" w:type="dxa"/>
          </w:tcPr>
          <w:p w:rsidR="004B0CC0" w:rsidRDefault="00C113A2">
            <w:pPr>
              <w:pStyle w:val="B1"/>
              <w:numPr>
                <w:ilvl w:val="0"/>
                <w:numId w:val="4"/>
              </w:numPr>
              <w:jc w:val="both"/>
              <w:rPr>
                <w:rFonts w:eastAsia="宋体"/>
                <w:lang w:val="en-US"/>
              </w:rPr>
            </w:pPr>
            <w:r>
              <w:rPr>
                <w:rFonts w:eastAsia="宋体"/>
                <w:lang w:val="en-US"/>
              </w:rPr>
              <w:t>Specify support for the following Extended DRX enhancements for RedCap UEs [RAN2, RAN3, RAN4]:</w:t>
            </w:r>
          </w:p>
          <w:p w:rsidR="004B0CC0" w:rsidRDefault="00C113A2">
            <w:pPr>
              <w:pStyle w:val="B1"/>
              <w:numPr>
                <w:ilvl w:val="1"/>
                <w:numId w:val="4"/>
              </w:numPr>
              <w:jc w:val="both"/>
              <w:rPr>
                <w:rFonts w:eastAsia="宋体"/>
                <w:bCs/>
                <w:lang w:val="en-US"/>
              </w:rPr>
            </w:pPr>
            <w:r>
              <w:rPr>
                <w:rFonts w:eastAsia="宋体"/>
                <w:bCs/>
                <w:lang w:val="en-US"/>
              </w:rPr>
              <w:t>Extended DRX for RRC Inactive and Idle with eDRX cyc</w:t>
            </w:r>
            <w:r>
              <w:rPr>
                <w:rFonts w:eastAsia="宋体"/>
                <w:bCs/>
                <w:lang w:val="en-US"/>
              </w:rPr>
              <w:t>les up to 10.24 s, without using PTW and PH, and with common design (e.g. common set of eDRX values) between RRC Inactive and Idle</w:t>
            </w:r>
          </w:p>
          <w:p w:rsidR="004B0CC0" w:rsidRDefault="00C113A2">
            <w:pPr>
              <w:pStyle w:val="B1"/>
              <w:numPr>
                <w:ilvl w:val="1"/>
                <w:numId w:val="4"/>
              </w:numPr>
              <w:jc w:val="both"/>
            </w:pPr>
            <w:r>
              <w:rPr>
                <w:rFonts w:eastAsia="宋体"/>
                <w:bCs/>
                <w:lang w:val="en-US"/>
              </w:rPr>
              <w:t xml:space="preserve">Extended DRX for RRC Inactive and Idle with eDRX cycles up to 10485.76 s; </w:t>
            </w:r>
            <w:r>
              <w:t>the details of mechanisms and feasibility regarding</w:t>
            </w:r>
            <w:r>
              <w:t xml:space="preserve"> maximum length of the extended DRX cycles for RRC Inactive and Idle need to be checked by SA2, CT1 and/or RAN4.</w:t>
            </w:r>
          </w:p>
          <w:p w:rsidR="004B0CC0" w:rsidRDefault="00C113A2">
            <w:pPr>
              <w:pStyle w:val="B1"/>
              <w:numPr>
                <w:ilvl w:val="1"/>
                <w:numId w:val="4"/>
              </w:numPr>
              <w:jc w:val="both"/>
              <w:rPr>
                <w:rFonts w:eastAsia="等线"/>
                <w:sz w:val="22"/>
                <w:szCs w:val="22"/>
                <w:lang w:val="en-US" w:eastAsia="zh-CN"/>
              </w:rPr>
            </w:pPr>
            <w:r>
              <w:rPr>
                <w:rFonts w:eastAsia="宋体"/>
                <w:bCs/>
                <w:lang w:val="en-US"/>
              </w:rPr>
              <w:t>RAN2 to decide which Node(s) configure eDRX in RRC_Idle and RRC_Inactive.</w:t>
            </w:r>
          </w:p>
        </w:tc>
      </w:tr>
    </w:tbl>
    <w:p w:rsidR="004B0CC0" w:rsidRDefault="00C113A2">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Discussion</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i/>
          <w:iCs/>
          <w:kern w:val="0"/>
          <w:sz w:val="20"/>
          <w:szCs w:val="20"/>
        </w:rPr>
      </w:pPr>
      <w:r>
        <w:rPr>
          <w:rFonts w:eastAsia="宋体"/>
          <w:kern w:val="0"/>
          <w:sz w:val="20"/>
          <w:szCs w:val="20"/>
        </w:rPr>
        <w:t>According to updated WID, eDRX cycle for RRC inactive and</w:t>
      </w:r>
      <w:r>
        <w:rPr>
          <w:rFonts w:eastAsia="宋体"/>
          <w:kern w:val="0"/>
          <w:sz w:val="20"/>
          <w:szCs w:val="20"/>
        </w:rPr>
        <w:t xml:space="preserve"> Idle can be up to 10485.76s. The details of mechanism and feasibility regarding maximum length of eDRX cycle for RRC inactive and idle need to be checked by SA2, CT1 and/or RAN4. As discussed in SI phase, the upper value of eDRX cycle for RRC inactive is </w:t>
      </w:r>
      <w:r>
        <w:rPr>
          <w:rFonts w:eastAsia="宋体"/>
          <w:kern w:val="0"/>
          <w:sz w:val="20"/>
          <w:szCs w:val="20"/>
        </w:rPr>
        <w:t>limited by NAS transmission timer. Per our understand</w:t>
      </w:r>
      <w:r w:rsidR="00BC6676">
        <w:rPr>
          <w:rFonts w:eastAsia="宋体"/>
          <w:kern w:val="0"/>
          <w:sz w:val="20"/>
          <w:szCs w:val="20"/>
        </w:rPr>
        <w:t>ing</w:t>
      </w:r>
      <w:r>
        <w:rPr>
          <w:rFonts w:eastAsia="宋体"/>
          <w:kern w:val="0"/>
          <w:sz w:val="20"/>
          <w:szCs w:val="20"/>
        </w:rPr>
        <w:t>, either NAS ret</w:t>
      </w:r>
      <w:r w:rsidR="00BC6676">
        <w:rPr>
          <w:rFonts w:eastAsia="宋体"/>
          <w:kern w:val="0"/>
          <w:sz w:val="20"/>
          <w:szCs w:val="20"/>
        </w:rPr>
        <w:t>ransmission timer needs to be extended</w:t>
      </w:r>
      <w:r>
        <w:rPr>
          <w:rFonts w:eastAsia="宋体"/>
          <w:kern w:val="0"/>
          <w:sz w:val="20"/>
          <w:szCs w:val="20"/>
        </w:rPr>
        <w:t xml:space="preserve"> or CN </w:t>
      </w:r>
      <w:r w:rsidR="00BC6676">
        <w:rPr>
          <w:rFonts w:eastAsia="宋体"/>
          <w:kern w:val="0"/>
          <w:sz w:val="20"/>
          <w:szCs w:val="20"/>
        </w:rPr>
        <w:t xml:space="preserve">has to </w:t>
      </w:r>
      <w:r>
        <w:rPr>
          <w:rFonts w:eastAsia="宋体"/>
          <w:kern w:val="0"/>
          <w:sz w:val="20"/>
          <w:szCs w:val="20"/>
        </w:rPr>
        <w:t>buffer DL data for UE in RRC inactive. However, this should be checked by SA2/CT1.</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t xml:space="preserve">Proposal 1: </w:t>
      </w:r>
      <w:r w:rsidR="00BC6676">
        <w:rPr>
          <w:rFonts w:eastAsia="宋体"/>
          <w:b/>
          <w:bCs/>
          <w:kern w:val="0"/>
          <w:sz w:val="20"/>
          <w:szCs w:val="20"/>
        </w:rPr>
        <w:t>S</w:t>
      </w:r>
      <w:r>
        <w:rPr>
          <w:rFonts w:eastAsia="宋体"/>
          <w:b/>
          <w:bCs/>
          <w:kern w:val="0"/>
          <w:sz w:val="20"/>
          <w:szCs w:val="20"/>
        </w:rPr>
        <w:t xml:space="preserve">end LS to SA2/CT1 to check the mechanism and </w:t>
      </w:r>
      <w:r>
        <w:rPr>
          <w:rFonts w:eastAsia="宋体"/>
          <w:b/>
          <w:bCs/>
          <w:kern w:val="0"/>
          <w:sz w:val="20"/>
          <w:szCs w:val="20"/>
        </w:rPr>
        <w:t xml:space="preserve">feasibility to support eDRX cycle </w:t>
      </w:r>
      <w:r w:rsidR="00BC6676">
        <w:rPr>
          <w:rFonts w:eastAsia="宋体"/>
          <w:b/>
          <w:bCs/>
          <w:kern w:val="0"/>
          <w:sz w:val="20"/>
          <w:szCs w:val="20"/>
        </w:rPr>
        <w:t>up to 10485.76s</w:t>
      </w:r>
      <w:r w:rsidR="00BC6676">
        <w:rPr>
          <w:rFonts w:eastAsia="宋体"/>
          <w:b/>
          <w:bCs/>
          <w:kern w:val="0"/>
          <w:sz w:val="20"/>
          <w:szCs w:val="20"/>
        </w:rPr>
        <w:t xml:space="preserve"> for RRC inactive and RRC idle</w:t>
      </w:r>
      <w:r>
        <w:rPr>
          <w:rFonts w:eastAsia="宋体"/>
          <w:b/>
          <w:bCs/>
          <w:kern w:val="0"/>
          <w:sz w:val="20"/>
          <w:szCs w:val="20"/>
        </w:rPr>
        <w:t>.</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UE in RRC idle has more restrict power saving requirement than in RRC inactive. There is no reason to configure eDRX for RRC inactive but not configure eDRX for RRC idle. Simi</w:t>
      </w:r>
      <w:r>
        <w:rPr>
          <w:rFonts w:eastAsia="宋体"/>
          <w:kern w:val="0"/>
          <w:sz w:val="20"/>
          <w:szCs w:val="20"/>
        </w:rPr>
        <w:t xml:space="preserve">larly, there is no reason to configure a longer eDRX cycle for RRC inactive than for </w:t>
      </w:r>
      <w:r w:rsidR="00BC6676">
        <w:rPr>
          <w:rFonts w:eastAsia="宋体"/>
          <w:kern w:val="0"/>
          <w:sz w:val="20"/>
          <w:szCs w:val="20"/>
        </w:rPr>
        <w:t>RRC idle. Thus we prefer to define</w:t>
      </w:r>
      <w:r>
        <w:rPr>
          <w:rFonts w:eastAsia="宋体"/>
          <w:kern w:val="0"/>
          <w:sz w:val="20"/>
          <w:szCs w:val="20"/>
        </w:rPr>
        <w:t xml:space="preserve"> some limitation to </w:t>
      </w:r>
      <w:r w:rsidR="00BC6676">
        <w:rPr>
          <w:rFonts w:eastAsia="宋体"/>
          <w:kern w:val="0"/>
          <w:sz w:val="20"/>
          <w:szCs w:val="20"/>
        </w:rPr>
        <w:t xml:space="preserve">the eDRX </w:t>
      </w:r>
      <w:r>
        <w:rPr>
          <w:rFonts w:eastAsia="宋体"/>
          <w:kern w:val="0"/>
          <w:sz w:val="20"/>
          <w:szCs w:val="20"/>
        </w:rPr>
        <w:t>configuration.</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b/>
          <w:bCs/>
          <w:kern w:val="0"/>
          <w:sz w:val="20"/>
          <w:szCs w:val="20"/>
        </w:rPr>
        <w:t>Proposal 2: The eDRX for RRC inactive can be configured only when eDRX for RRC idle is configured</w:t>
      </w:r>
      <w:r>
        <w:rPr>
          <w:rFonts w:eastAsia="宋体"/>
          <w:b/>
          <w:bCs/>
          <w:kern w:val="0"/>
          <w:sz w:val="20"/>
          <w:szCs w:val="20"/>
        </w:rPr>
        <w:t>. If configured, the eDRX cycle for RRC inactive is no longer than eDRX cycle for RRC idle.</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According to updated RedCap WID, e</w:t>
      </w:r>
      <w:r>
        <w:rPr>
          <w:rFonts w:eastAsia="宋体"/>
          <w:kern w:val="0"/>
          <w:sz w:val="20"/>
          <w:szCs w:val="20"/>
          <w:lang w:eastAsia="ja-JP"/>
        </w:rPr>
        <w:t xml:space="preserve">DRX for RRC Inactive and Idle with eDRX cycles </w:t>
      </w:r>
      <w:r>
        <w:rPr>
          <w:rFonts w:eastAsia="宋体"/>
          <w:kern w:val="0"/>
          <w:sz w:val="20"/>
          <w:szCs w:val="20"/>
        </w:rPr>
        <w:t xml:space="preserve">can be configured </w:t>
      </w:r>
      <w:r>
        <w:rPr>
          <w:rFonts w:eastAsia="宋体"/>
          <w:kern w:val="0"/>
          <w:sz w:val="20"/>
          <w:szCs w:val="20"/>
          <w:lang w:eastAsia="ja-JP"/>
        </w:rPr>
        <w:t>up to 10.24s</w:t>
      </w:r>
      <w:r>
        <w:rPr>
          <w:rFonts w:eastAsia="宋体"/>
          <w:kern w:val="0"/>
          <w:sz w:val="20"/>
          <w:szCs w:val="20"/>
        </w:rPr>
        <w:t xml:space="preserve"> </w:t>
      </w:r>
      <w:r>
        <w:rPr>
          <w:rFonts w:eastAsia="宋体"/>
          <w:kern w:val="0"/>
          <w:sz w:val="20"/>
          <w:szCs w:val="20"/>
          <w:lang w:eastAsia="ja-JP"/>
        </w:rPr>
        <w:t>without using PTW and PH, and with common design (e.</w:t>
      </w:r>
      <w:r>
        <w:rPr>
          <w:rFonts w:eastAsia="宋体"/>
          <w:kern w:val="0"/>
          <w:sz w:val="20"/>
          <w:szCs w:val="20"/>
          <w:lang w:eastAsia="ja-JP"/>
        </w:rPr>
        <w:t>g. common set of eDRX values) between RRC Inactive and Idle</w:t>
      </w:r>
      <w:r>
        <w:rPr>
          <w:rFonts w:eastAsia="宋体"/>
          <w:kern w:val="0"/>
          <w:sz w:val="20"/>
          <w:szCs w:val="20"/>
        </w:rPr>
        <w:t xml:space="preserve">. However, it is unclear whether UE in RRC inactive can be configured with eDRX for RRC idle only but no eDRX </w:t>
      </w:r>
      <w:r>
        <w:rPr>
          <w:rFonts w:eastAsia="宋体"/>
          <w:kern w:val="0"/>
          <w:sz w:val="20"/>
          <w:szCs w:val="20"/>
        </w:rPr>
        <w:lastRenderedPageBreak/>
        <w:t>for RRC inactive. Per our understanding, this kind of configuration provides some flexi</w:t>
      </w:r>
      <w:r>
        <w:rPr>
          <w:rFonts w:eastAsia="宋体"/>
          <w:kern w:val="0"/>
          <w:sz w:val="20"/>
          <w:szCs w:val="20"/>
        </w:rPr>
        <w:t>bility, i.e. UE monitor RAN paging according to RAN paging cycle but not eDRX cycle. And it is allowed in LTE-M and NB-IoT.</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t>Proposal 3: UE in RRC inactive can be configured with eDRX for RRC idle</w:t>
      </w:r>
      <w:r>
        <w:rPr>
          <w:rFonts w:eastAsia="宋体"/>
          <w:b/>
          <w:bCs/>
          <w:kern w:val="0"/>
          <w:sz w:val="20"/>
          <w:szCs w:val="20"/>
        </w:rPr>
        <w:t xml:space="preserve"> but without eDRX for RRC inactive.</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For the case that both eD</w:t>
      </w:r>
      <w:r>
        <w:rPr>
          <w:rFonts w:eastAsia="宋体"/>
          <w:kern w:val="0"/>
          <w:sz w:val="20"/>
          <w:szCs w:val="20"/>
        </w:rPr>
        <w:t>RX for RRC idle and RRC inactive are larger than 10.24s, several options regarding two PTW issue are captured in RedCap TR</w:t>
      </w:r>
      <w:r w:rsidR="00BC6676">
        <w:rPr>
          <w:rFonts w:eastAsia="宋体"/>
          <w:kern w:val="0"/>
          <w:sz w:val="20"/>
          <w:szCs w:val="20"/>
        </w:rPr>
        <w:t xml:space="preserve"> </w:t>
      </w:r>
      <w:r>
        <w:rPr>
          <w:rFonts w:eastAsia="宋体"/>
          <w:kern w:val="0"/>
          <w:sz w:val="20"/>
          <w:szCs w:val="20"/>
        </w:rPr>
        <w:t>[2]:</w:t>
      </w:r>
    </w:p>
    <w:tbl>
      <w:tblPr>
        <w:tblStyle w:val="af5"/>
        <w:tblW w:w="0" w:type="auto"/>
        <w:tblLook w:val="04A0" w:firstRow="1" w:lastRow="0" w:firstColumn="1" w:lastColumn="0" w:noHBand="0" w:noVBand="1"/>
      </w:tblPr>
      <w:tblGrid>
        <w:gridCol w:w="9628"/>
      </w:tblGrid>
      <w:tr w:rsidR="004B0CC0">
        <w:tc>
          <w:tcPr>
            <w:tcW w:w="9854" w:type="dxa"/>
          </w:tcPr>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lang w:val="en-GB" w:eastAsia="en-US"/>
              </w:rPr>
            </w:pPr>
            <w:r>
              <w:rPr>
                <w:rFonts w:eastAsia="宋体"/>
                <w:kern w:val="0"/>
                <w:sz w:val="20"/>
                <w:szCs w:val="20"/>
                <w:lang w:val="en-GB" w:eastAsia="en-US"/>
              </w:rPr>
              <w:t>The following solutions can be considered for PTW and eDRX cycle configuration for RRC_IDLE and RRC_INACTIVE:</w:t>
            </w:r>
          </w:p>
          <w:p w:rsidR="004B0CC0" w:rsidRDefault="00C113A2">
            <w:pPr>
              <w:widowControl/>
              <w:overflowPunct w:val="0"/>
              <w:autoSpaceDE w:val="0"/>
              <w:autoSpaceDN w:val="0"/>
              <w:adjustRightInd w:val="0"/>
              <w:spacing w:beforeLines="50" w:before="156" w:after="120" w:line="240" w:lineRule="auto"/>
              <w:ind w:leftChars="200" w:left="420" w:right="-96"/>
              <w:jc w:val="left"/>
              <w:textAlignment w:val="baseline"/>
              <w:rPr>
                <w:rFonts w:eastAsia="宋体"/>
                <w:kern w:val="0"/>
                <w:sz w:val="20"/>
                <w:szCs w:val="20"/>
                <w:lang w:val="en-GB" w:eastAsia="en-US"/>
              </w:rPr>
            </w:pPr>
            <w:r>
              <w:rPr>
                <w:rFonts w:eastAsia="宋体"/>
                <w:kern w:val="0"/>
                <w:sz w:val="20"/>
                <w:szCs w:val="20"/>
                <w:lang w:val="en-GB" w:eastAsia="en-US"/>
              </w:rPr>
              <w:t>-</w:t>
            </w:r>
            <w:r>
              <w:rPr>
                <w:rFonts w:eastAsia="宋体"/>
                <w:kern w:val="0"/>
                <w:sz w:val="20"/>
                <w:szCs w:val="20"/>
                <w:lang w:val="en-GB" w:eastAsia="en-US"/>
              </w:rPr>
              <w:tab/>
              <w:t xml:space="preserve">A common PTW and </w:t>
            </w:r>
            <w:r>
              <w:rPr>
                <w:rFonts w:eastAsia="宋体"/>
                <w:kern w:val="0"/>
                <w:sz w:val="20"/>
                <w:szCs w:val="20"/>
                <w:lang w:val="en-GB" w:eastAsia="en-US"/>
              </w:rPr>
              <w:t>eDRX cycle.</w:t>
            </w:r>
          </w:p>
          <w:p w:rsidR="004B0CC0" w:rsidRDefault="00C113A2">
            <w:pPr>
              <w:widowControl/>
              <w:overflowPunct w:val="0"/>
              <w:autoSpaceDE w:val="0"/>
              <w:autoSpaceDN w:val="0"/>
              <w:adjustRightInd w:val="0"/>
              <w:spacing w:beforeLines="50" w:before="156" w:after="120" w:line="240" w:lineRule="auto"/>
              <w:ind w:leftChars="200" w:left="420" w:right="-96"/>
              <w:jc w:val="left"/>
              <w:textAlignment w:val="baseline"/>
              <w:rPr>
                <w:rFonts w:eastAsia="宋体"/>
                <w:kern w:val="0"/>
                <w:sz w:val="20"/>
                <w:szCs w:val="20"/>
                <w:lang w:val="en-GB" w:eastAsia="en-US"/>
              </w:rPr>
            </w:pPr>
            <w:r>
              <w:rPr>
                <w:rFonts w:eastAsia="宋体"/>
                <w:kern w:val="0"/>
                <w:sz w:val="20"/>
                <w:szCs w:val="20"/>
                <w:lang w:val="en-GB" w:eastAsia="en-US"/>
              </w:rPr>
              <w:t>-</w:t>
            </w:r>
            <w:r>
              <w:rPr>
                <w:rFonts w:eastAsia="宋体"/>
                <w:kern w:val="0"/>
                <w:sz w:val="20"/>
                <w:szCs w:val="20"/>
                <w:lang w:val="en-GB" w:eastAsia="en-US"/>
              </w:rPr>
              <w:tab/>
              <w:t>A common PTW but with different eDRX cycle.</w:t>
            </w:r>
          </w:p>
          <w:p w:rsidR="004B0CC0" w:rsidRDefault="00C113A2">
            <w:pPr>
              <w:widowControl/>
              <w:overflowPunct w:val="0"/>
              <w:autoSpaceDE w:val="0"/>
              <w:autoSpaceDN w:val="0"/>
              <w:adjustRightInd w:val="0"/>
              <w:spacing w:beforeLines="50" w:before="156" w:after="120" w:line="240" w:lineRule="auto"/>
              <w:ind w:leftChars="200" w:left="420" w:right="-96"/>
              <w:jc w:val="left"/>
              <w:textAlignment w:val="baseline"/>
              <w:rPr>
                <w:rFonts w:eastAsia="宋体"/>
                <w:kern w:val="0"/>
                <w:sz w:val="20"/>
                <w:szCs w:val="20"/>
                <w:lang w:val="en-GB" w:eastAsia="en-US"/>
              </w:rPr>
            </w:pPr>
            <w:r>
              <w:rPr>
                <w:rFonts w:eastAsia="宋体"/>
                <w:kern w:val="0"/>
                <w:sz w:val="20"/>
                <w:szCs w:val="20"/>
                <w:lang w:val="en-GB" w:eastAsia="en-US"/>
              </w:rPr>
              <w:t>-</w:t>
            </w:r>
            <w:r>
              <w:rPr>
                <w:rFonts w:eastAsia="宋体"/>
                <w:kern w:val="0"/>
                <w:sz w:val="20"/>
                <w:szCs w:val="20"/>
                <w:lang w:val="en-GB" w:eastAsia="en-US"/>
              </w:rPr>
              <w:tab/>
              <w:t>A common eDRX cycle but with different PTW length.</w:t>
            </w:r>
          </w:p>
          <w:p w:rsidR="004B0CC0" w:rsidRDefault="00C113A2">
            <w:pPr>
              <w:widowControl/>
              <w:overflowPunct w:val="0"/>
              <w:autoSpaceDE w:val="0"/>
              <w:autoSpaceDN w:val="0"/>
              <w:adjustRightInd w:val="0"/>
              <w:spacing w:beforeLines="50" w:before="156" w:after="120" w:line="240" w:lineRule="auto"/>
              <w:ind w:leftChars="200" w:left="420" w:right="-96"/>
              <w:jc w:val="left"/>
              <w:textAlignment w:val="baseline"/>
              <w:rPr>
                <w:rFonts w:eastAsia="宋体"/>
                <w:kern w:val="0"/>
                <w:sz w:val="20"/>
                <w:szCs w:val="20"/>
              </w:rPr>
            </w:pPr>
            <w:r>
              <w:rPr>
                <w:rFonts w:eastAsia="宋体"/>
                <w:kern w:val="0"/>
                <w:sz w:val="20"/>
                <w:szCs w:val="20"/>
                <w:lang w:val="en-GB" w:eastAsia="en-US"/>
              </w:rPr>
              <w:t>-</w:t>
            </w:r>
            <w:r>
              <w:rPr>
                <w:rFonts w:eastAsia="宋体"/>
                <w:kern w:val="0"/>
                <w:sz w:val="20"/>
                <w:szCs w:val="20"/>
                <w:lang w:val="en-GB" w:eastAsia="en-US"/>
              </w:rPr>
              <w:tab/>
              <w:t>Different eDRX cycle and different PTW length.</w:t>
            </w:r>
          </w:p>
        </w:tc>
      </w:tr>
    </w:tbl>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Per our understanding, it is more flexible to have different eDRX cycles for RRC idle and RRC i</w:t>
      </w:r>
      <w:r>
        <w:rPr>
          <w:rFonts w:eastAsia="宋体"/>
          <w:kern w:val="0"/>
          <w:sz w:val="20"/>
          <w:szCs w:val="20"/>
        </w:rPr>
        <w:t xml:space="preserve">nactive. The eDRX for RRC inactive can take DL traffic pattern into consideration, e.g. to configure </w:t>
      </w:r>
      <w:r w:rsidR="00BC6676">
        <w:rPr>
          <w:rFonts w:eastAsia="宋体"/>
          <w:kern w:val="0"/>
          <w:sz w:val="20"/>
          <w:szCs w:val="20"/>
        </w:rPr>
        <w:t>short eDRX cycle for RRC inactive</w:t>
      </w:r>
      <w:r>
        <w:rPr>
          <w:rFonts w:eastAsia="宋体"/>
          <w:kern w:val="0"/>
          <w:sz w:val="20"/>
          <w:szCs w:val="20"/>
        </w:rPr>
        <w:t xml:space="preserve">. At the same time, eDRX cycle for RRC idle can still be a very large one to achieve extreme UE power </w:t>
      </w:r>
      <w:r>
        <w:rPr>
          <w:rFonts w:eastAsia="宋体"/>
          <w:kern w:val="0"/>
          <w:sz w:val="20"/>
          <w:szCs w:val="20"/>
        </w:rPr>
        <w:t>saving.</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xml:space="preserve">If the two </w:t>
      </w:r>
      <w:r w:rsidR="00BC6676">
        <w:rPr>
          <w:rFonts w:eastAsia="宋体"/>
          <w:kern w:val="0"/>
          <w:sz w:val="20"/>
          <w:szCs w:val="20"/>
        </w:rPr>
        <w:t xml:space="preserve">different </w:t>
      </w:r>
      <w:r>
        <w:rPr>
          <w:rFonts w:eastAsia="宋体"/>
          <w:kern w:val="0"/>
          <w:sz w:val="20"/>
          <w:szCs w:val="20"/>
        </w:rPr>
        <w:t>eDRX cycle</w:t>
      </w:r>
      <w:r w:rsidR="00BC6676">
        <w:rPr>
          <w:rFonts w:eastAsia="宋体"/>
          <w:kern w:val="0"/>
          <w:sz w:val="20"/>
          <w:szCs w:val="20"/>
        </w:rPr>
        <w:t>s are configured</w:t>
      </w:r>
      <w:r>
        <w:rPr>
          <w:rFonts w:eastAsia="宋体"/>
          <w:kern w:val="0"/>
          <w:sz w:val="20"/>
          <w:szCs w:val="20"/>
        </w:rPr>
        <w:t xml:space="preserve">, the idle PTW can be overlapped with inactive PTW if eDRX cycle for RRC idle is configured as a multiple of eDRX cycle for RRC inactive. In this way, unnecessary paging monitoring can be avoid. </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As to the PTW length, i</w:t>
      </w:r>
      <w:r>
        <w:rPr>
          <w:rFonts w:eastAsia="宋体"/>
          <w:kern w:val="0"/>
          <w:sz w:val="20"/>
          <w:szCs w:val="20"/>
        </w:rPr>
        <w:t xml:space="preserve">ts intention is to provide multiple chances for paging to improve robustness. We see no reason to have different PTW length for RRC idle and RRC inactive. </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xml:space="preserve">Following figure shows an example of common PTW with different eDRX cycle for RRC inactive and RRC </w:t>
      </w:r>
      <w:r>
        <w:rPr>
          <w:rFonts w:eastAsia="宋体"/>
          <w:kern w:val="0"/>
          <w:sz w:val="20"/>
          <w:szCs w:val="20"/>
        </w:rPr>
        <w:t>idle.</w:t>
      </w:r>
    </w:p>
    <w:p w:rsidR="004B0CC0" w:rsidRDefault="00C113A2">
      <w:pPr>
        <w:widowControl/>
        <w:overflowPunct w:val="0"/>
        <w:autoSpaceDE w:val="0"/>
        <w:autoSpaceDN w:val="0"/>
        <w:adjustRightInd w:val="0"/>
        <w:spacing w:beforeLines="50" w:before="156" w:after="120" w:line="240" w:lineRule="auto"/>
        <w:ind w:right="-96"/>
        <w:jc w:val="center"/>
        <w:textAlignment w:val="baseline"/>
      </w:pPr>
      <w:r>
        <w:object w:dxaOrig="5679" w:dyaOrig="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15pt;height:119.5pt" o:ole="">
            <v:imagedata r:id="rId9" o:title=""/>
            <o:lock v:ext="edit" aspectratio="f"/>
          </v:shape>
          <o:OLEObject Type="Embed" ProgID="Visio.Drawing.11" ShapeID="_x0000_i1025" DrawAspect="Content" ObjectID="_1678874633" r:id="rId10"/>
        </w:object>
      </w:r>
    </w:p>
    <w:p w:rsidR="004B0CC0" w:rsidRDefault="00C113A2">
      <w:pPr>
        <w:widowControl/>
        <w:overflowPunct w:val="0"/>
        <w:autoSpaceDE w:val="0"/>
        <w:autoSpaceDN w:val="0"/>
        <w:adjustRightInd w:val="0"/>
        <w:spacing w:beforeLines="50" w:before="156" w:after="120" w:line="240" w:lineRule="auto"/>
        <w:ind w:right="-96"/>
        <w:jc w:val="center"/>
        <w:textAlignment w:val="baseline"/>
        <w:rPr>
          <w:sz w:val="20"/>
          <w:szCs w:val="20"/>
        </w:rPr>
      </w:pPr>
      <w:r>
        <w:rPr>
          <w:sz w:val="20"/>
          <w:szCs w:val="20"/>
        </w:rPr>
        <w:t>Figure 1: example of “common PTW with different eDRX cycle”</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t>Proposal 4: To support “common PTW with different eDRX cycle” in the case eDRX cycle for both RRC idle and RRC inactive are larger than 10.24s.</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According to upda</w:t>
      </w:r>
      <w:r>
        <w:rPr>
          <w:rFonts w:eastAsia="宋体"/>
          <w:kern w:val="0"/>
          <w:sz w:val="20"/>
          <w:szCs w:val="20"/>
        </w:rPr>
        <w:t>ted WID and RedCap TR, eDRX can be configured for UR in RRC idle and RRC inactive state. For UE in RRC inactive state operating in eDRX, it should monitor both CN paging and RAN paging in case RRC state mismatch between UE and network. In different combina</w:t>
      </w:r>
      <w:r>
        <w:rPr>
          <w:rFonts w:eastAsia="宋体"/>
          <w:kern w:val="0"/>
          <w:sz w:val="20"/>
          <w:szCs w:val="20"/>
        </w:rPr>
        <w:t>tion of the two eDRX cycle length, UE behavior in monitoring CN p</w:t>
      </w:r>
      <w:r w:rsidR="00BC6676">
        <w:rPr>
          <w:rFonts w:eastAsia="宋体"/>
          <w:kern w:val="0"/>
          <w:sz w:val="20"/>
          <w:szCs w:val="20"/>
        </w:rPr>
        <w:t>aging and RAN paging may differ</w:t>
      </w:r>
      <w:r>
        <w:rPr>
          <w:rFonts w:eastAsia="宋体"/>
          <w:kern w:val="0"/>
          <w:sz w:val="20"/>
          <w:szCs w:val="20"/>
        </w:rPr>
        <w:t>.</w:t>
      </w:r>
    </w:p>
    <w:p w:rsidR="004B0CC0" w:rsidRDefault="00BC6676">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lastRenderedPageBreak/>
        <w:t xml:space="preserve">In </w:t>
      </w:r>
      <w:r w:rsidR="00C113A2">
        <w:rPr>
          <w:rFonts w:eastAsia="宋体"/>
          <w:kern w:val="0"/>
          <w:sz w:val="20"/>
          <w:szCs w:val="20"/>
        </w:rPr>
        <w:t>case eDRX cycle is no larger than 10.24s, eDRX cycle for RRC inactive and RRC idle support common value. In LTE-M/NB-IoT, in the case the eDRX cycle i</w:t>
      </w:r>
      <w:r w:rsidR="00C113A2">
        <w:rPr>
          <w:rFonts w:eastAsia="宋体"/>
          <w:kern w:val="0"/>
          <w:sz w:val="20"/>
          <w:szCs w:val="20"/>
        </w:rPr>
        <w:t>s shorter 10.24s, i.e. 5.12s, take T=5.12 in the PF/PO f</w:t>
      </w:r>
      <w:r>
        <w:rPr>
          <w:rFonts w:eastAsia="宋体"/>
          <w:kern w:val="0"/>
          <w:sz w:val="20"/>
          <w:szCs w:val="20"/>
        </w:rPr>
        <w:t>ormula. For RedCap, it is reasonable</w:t>
      </w:r>
      <w:r w:rsidR="00C113A2">
        <w:rPr>
          <w:rFonts w:eastAsia="宋体"/>
          <w:kern w:val="0"/>
          <w:sz w:val="20"/>
          <w:szCs w:val="20"/>
        </w:rPr>
        <w:t xml:space="preserve"> to take this common eDRX cycle as the T for PF/PO calculation. UE monitor CN and RAN paging on the same PF/PO.</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t xml:space="preserve">Proposal </w:t>
      </w:r>
      <w:r>
        <w:rPr>
          <w:rFonts w:eastAsia="宋体" w:hint="eastAsia"/>
          <w:b/>
          <w:bCs/>
          <w:kern w:val="0"/>
          <w:sz w:val="20"/>
          <w:szCs w:val="20"/>
        </w:rPr>
        <w:t>5</w:t>
      </w:r>
      <w:r w:rsidR="00BC6676">
        <w:rPr>
          <w:rFonts w:eastAsia="宋体"/>
          <w:b/>
          <w:bCs/>
          <w:kern w:val="0"/>
          <w:sz w:val="20"/>
          <w:szCs w:val="20"/>
        </w:rPr>
        <w:t>: In</w:t>
      </w:r>
      <w:r>
        <w:rPr>
          <w:rFonts w:eastAsia="宋体"/>
          <w:b/>
          <w:bCs/>
          <w:kern w:val="0"/>
          <w:sz w:val="20"/>
          <w:szCs w:val="20"/>
        </w:rPr>
        <w:t xml:space="preserve"> case eDRX cycle for RRC idle and RRC </w:t>
      </w:r>
      <w:r>
        <w:rPr>
          <w:rFonts w:eastAsia="宋体"/>
          <w:b/>
          <w:bCs/>
          <w:kern w:val="0"/>
          <w:sz w:val="20"/>
          <w:szCs w:val="20"/>
        </w:rPr>
        <w:t xml:space="preserve">inactive are no longer than 10.24s, set </w:t>
      </w:r>
      <w:r w:rsidRPr="0060686A">
        <w:rPr>
          <w:rFonts w:eastAsia="宋体"/>
          <w:b/>
          <w:bCs/>
          <w:kern w:val="0"/>
          <w:sz w:val="20"/>
          <w:szCs w:val="20"/>
        </w:rPr>
        <w:t>the common</w:t>
      </w:r>
      <w:r>
        <w:rPr>
          <w:rFonts w:eastAsia="宋体"/>
          <w:b/>
          <w:bCs/>
          <w:kern w:val="0"/>
          <w:sz w:val="20"/>
          <w:szCs w:val="20"/>
        </w:rPr>
        <w:t xml:space="preserve"> eDRX cycle as T in PF/PO determination.</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kern w:val="0"/>
          <w:sz w:val="20"/>
          <w:szCs w:val="20"/>
        </w:rPr>
        <w:t xml:space="preserve">In RedCap SI phase, it is </w:t>
      </w:r>
      <w:r>
        <w:rPr>
          <w:rFonts w:eastAsia="宋体" w:hint="eastAsia"/>
          <w:kern w:val="0"/>
          <w:sz w:val="20"/>
          <w:szCs w:val="20"/>
        </w:rPr>
        <w:t xml:space="preserve">agreed </w:t>
      </w:r>
      <w:r>
        <w:rPr>
          <w:rFonts w:eastAsia="宋体"/>
          <w:kern w:val="0"/>
          <w:sz w:val="20"/>
          <w:szCs w:val="20"/>
        </w:rPr>
        <w:t xml:space="preserve">if eDRX cycle beyond 10.24s, a mechanism similar to what is specified for LTE is </w:t>
      </w:r>
      <w:r w:rsidR="0060686A">
        <w:rPr>
          <w:rFonts w:eastAsia="宋体"/>
          <w:kern w:val="0"/>
          <w:sz w:val="20"/>
          <w:szCs w:val="20"/>
        </w:rPr>
        <w:t>reused</w:t>
      </w:r>
      <w:r>
        <w:rPr>
          <w:rFonts w:eastAsia="宋体"/>
          <w:kern w:val="0"/>
          <w:sz w:val="20"/>
          <w:szCs w:val="20"/>
        </w:rPr>
        <w:t>. This mechanism include</w:t>
      </w:r>
      <w:r w:rsidR="0060686A">
        <w:rPr>
          <w:rFonts w:eastAsia="宋体"/>
          <w:kern w:val="0"/>
          <w:sz w:val="20"/>
          <w:szCs w:val="20"/>
        </w:rPr>
        <w:t>s</w:t>
      </w:r>
      <w:r>
        <w:rPr>
          <w:rFonts w:eastAsia="宋体"/>
          <w:kern w:val="0"/>
          <w:sz w:val="20"/>
          <w:szCs w:val="20"/>
        </w:rPr>
        <w:t xml:space="preserve"> the use of H-SFN, </w:t>
      </w:r>
      <w:r>
        <w:rPr>
          <w:rFonts w:eastAsia="宋体"/>
          <w:kern w:val="0"/>
          <w:sz w:val="20"/>
          <w:szCs w:val="20"/>
        </w:rPr>
        <w:t>PH and PTW.</w:t>
      </w:r>
      <w:r>
        <w:rPr>
          <w:rFonts w:eastAsia="宋体" w:hint="eastAsia"/>
          <w:kern w:val="0"/>
          <w:sz w:val="20"/>
          <w:szCs w:val="20"/>
        </w:rPr>
        <w:t xml:space="preserve"> </w:t>
      </w:r>
      <w:r>
        <w:rPr>
          <w:rFonts w:eastAsia="宋体"/>
          <w:kern w:val="0"/>
          <w:sz w:val="20"/>
          <w:szCs w:val="20"/>
        </w:rPr>
        <w:t xml:space="preserve">In LTE-M and NB-IoT, the H-SFN of PH, </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xml:space="preserve">In LTE-M/NB-IoT, in </w:t>
      </w:r>
      <w:r>
        <w:rPr>
          <w:rFonts w:eastAsia="宋体"/>
          <w:kern w:val="0"/>
          <w:sz w:val="20"/>
          <w:szCs w:val="20"/>
        </w:rPr>
        <w:t>case the eDRX cycle equal to or larger than 10.24s, PTW is applied for CN paging monitoring. UE monitor CN and RAN paging according to following rule: UE monitor paging based on the</w:t>
      </w:r>
      <w:r>
        <w:rPr>
          <w:rFonts w:eastAsia="宋体"/>
          <w:kern w:val="0"/>
          <w:sz w:val="20"/>
          <w:szCs w:val="20"/>
        </w:rPr>
        <w:t xml:space="preserve"> shortest of RAN paging cycle, the UE specific paging cycle if configured, and default paging cycle during PTW which is determined by eDRX cycle for RRC idle. UE monitor paging based on RAN paging cycle outside the PTW.</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xml:space="preserve">For RedCap, this rule can be reused </w:t>
      </w:r>
      <w:r>
        <w:rPr>
          <w:rFonts w:eastAsia="宋体"/>
          <w:kern w:val="0"/>
          <w:sz w:val="20"/>
          <w:szCs w:val="20"/>
        </w:rPr>
        <w:t>in the case that eDRX cycle is larger than 10.24s while eDRX cycle for RRC inactive is shorter or equals to 10.24s.</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t xml:space="preserve">Proposal </w:t>
      </w:r>
      <w:r>
        <w:rPr>
          <w:rFonts w:eastAsia="宋体" w:hint="eastAsia"/>
          <w:b/>
          <w:bCs/>
          <w:kern w:val="0"/>
          <w:sz w:val="20"/>
          <w:szCs w:val="20"/>
        </w:rPr>
        <w:t>6</w:t>
      </w:r>
      <w:r>
        <w:rPr>
          <w:rFonts w:eastAsia="宋体"/>
          <w:b/>
          <w:bCs/>
          <w:kern w:val="0"/>
          <w:sz w:val="20"/>
          <w:szCs w:val="20"/>
        </w:rPr>
        <w:t>: In the case eDRX cycle for RRC idle is longer than 10.24s and eDRX cycle for RRC inactive is shorter than or equals to 10.24s, f</w:t>
      </w:r>
      <w:r>
        <w:rPr>
          <w:rFonts w:eastAsia="宋体"/>
          <w:b/>
          <w:bCs/>
          <w:kern w:val="0"/>
          <w:sz w:val="20"/>
          <w:szCs w:val="20"/>
        </w:rPr>
        <w:t xml:space="preserve">ollowing rule is used: </w:t>
      </w:r>
    </w:p>
    <w:p w:rsidR="004B0CC0" w:rsidRDefault="00C113A2">
      <w:pPr>
        <w:widowControl/>
        <w:overflowPunct w:val="0"/>
        <w:autoSpaceDE w:val="0"/>
        <w:autoSpaceDN w:val="0"/>
        <w:adjustRightInd w:val="0"/>
        <w:spacing w:beforeLines="50" w:before="156" w:after="120" w:line="240" w:lineRule="auto"/>
        <w:ind w:leftChars="400" w:left="840" w:right="-96"/>
        <w:jc w:val="left"/>
        <w:textAlignment w:val="baseline"/>
        <w:rPr>
          <w:rFonts w:eastAsia="宋体"/>
          <w:b/>
          <w:bCs/>
          <w:kern w:val="0"/>
          <w:sz w:val="20"/>
          <w:szCs w:val="20"/>
        </w:rPr>
      </w:pPr>
      <w:r>
        <w:rPr>
          <w:rFonts w:eastAsia="宋体"/>
          <w:b/>
          <w:bCs/>
          <w:kern w:val="0"/>
          <w:sz w:val="20"/>
          <w:szCs w:val="20"/>
        </w:rPr>
        <w:t xml:space="preserve">- During the PTW according to eDRX for RRC idle, UE monitor paging based on the shortest of RAN paging cycle, the UE specific paging cycle if configured, and default paging cycle. </w:t>
      </w:r>
    </w:p>
    <w:p w:rsidR="004B0CC0" w:rsidRDefault="00C113A2">
      <w:pPr>
        <w:widowControl/>
        <w:overflowPunct w:val="0"/>
        <w:autoSpaceDE w:val="0"/>
        <w:autoSpaceDN w:val="0"/>
        <w:adjustRightInd w:val="0"/>
        <w:spacing w:beforeLines="50" w:before="156" w:after="120" w:line="240" w:lineRule="auto"/>
        <w:ind w:leftChars="400" w:left="840" w:right="-96"/>
        <w:jc w:val="left"/>
        <w:textAlignment w:val="baseline"/>
        <w:rPr>
          <w:rFonts w:eastAsia="宋体"/>
          <w:b/>
          <w:bCs/>
          <w:kern w:val="0"/>
          <w:sz w:val="20"/>
          <w:szCs w:val="20"/>
        </w:rPr>
      </w:pPr>
      <w:r>
        <w:rPr>
          <w:rFonts w:eastAsia="宋体"/>
          <w:b/>
          <w:bCs/>
          <w:kern w:val="0"/>
          <w:sz w:val="20"/>
          <w:szCs w:val="20"/>
        </w:rPr>
        <w:t>- Outside the PTW according to eDRX for RRC idle, U</w:t>
      </w:r>
      <w:r>
        <w:rPr>
          <w:rFonts w:eastAsia="宋体"/>
          <w:b/>
          <w:bCs/>
          <w:kern w:val="0"/>
          <w:sz w:val="20"/>
          <w:szCs w:val="20"/>
        </w:rPr>
        <w:t>E monitor paging based on RAN paging cycle.</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In the case eDRX cycle for both RRC idle and RRC inactive are larger than 10.24s, there will be two kind of PTWs which are based on the two eDRX cycles respectively. In the PTW according to eDRX cycle for RRC idl</w:t>
      </w:r>
      <w:r>
        <w:rPr>
          <w:rFonts w:eastAsia="宋体"/>
          <w:kern w:val="0"/>
          <w:sz w:val="20"/>
          <w:szCs w:val="20"/>
        </w:rPr>
        <w:t>e, UE should monitor paging according to CN paging rule, i.e. set T as the shortest of UE specific paging cycle if configured, default paging cycle and RAN paging cycle. In the PTW according to eDRX cycle for RRC inactive, UE should monitor paging accordin</w:t>
      </w:r>
      <w:r>
        <w:rPr>
          <w:rFonts w:eastAsia="宋体"/>
          <w:kern w:val="0"/>
          <w:sz w:val="20"/>
          <w:szCs w:val="20"/>
        </w:rPr>
        <w:t>g to RAN paging rule, i.e. set T as RAN paging cycle.</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As proposed above, “common PTW with same PTW length” means the PTW based on eDRX cycle for RRC idle always overlaps a PTW based on eDRX cycle for RRC inactive. In the overlapped PTW, UE applies rule for</w:t>
      </w:r>
      <w:r>
        <w:rPr>
          <w:rFonts w:eastAsia="宋体"/>
          <w:kern w:val="0"/>
          <w:sz w:val="20"/>
          <w:szCs w:val="20"/>
        </w:rPr>
        <w:t xml:space="preserve"> CN paging monitoring which covers the RAN paging monitoring.</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t xml:space="preserve">Proposal </w:t>
      </w:r>
      <w:r>
        <w:rPr>
          <w:rFonts w:eastAsia="宋体" w:hint="eastAsia"/>
          <w:b/>
          <w:bCs/>
          <w:kern w:val="0"/>
          <w:sz w:val="20"/>
          <w:szCs w:val="20"/>
        </w:rPr>
        <w:t>7</w:t>
      </w:r>
      <w:r>
        <w:rPr>
          <w:rFonts w:eastAsia="宋体"/>
          <w:b/>
          <w:bCs/>
          <w:kern w:val="0"/>
          <w:sz w:val="20"/>
          <w:szCs w:val="20"/>
        </w:rPr>
        <w:t>: If eDRX cycle for RRC idle and RRC inactive are longer than 10.24s, UE applies following rule:</w:t>
      </w:r>
    </w:p>
    <w:p w:rsidR="004B0CC0" w:rsidRDefault="00C113A2">
      <w:pPr>
        <w:widowControl/>
        <w:overflowPunct w:val="0"/>
        <w:autoSpaceDE w:val="0"/>
        <w:autoSpaceDN w:val="0"/>
        <w:adjustRightInd w:val="0"/>
        <w:spacing w:beforeLines="50" w:before="156" w:after="120" w:line="240" w:lineRule="auto"/>
        <w:ind w:leftChars="400" w:left="840" w:right="-96"/>
        <w:jc w:val="left"/>
        <w:textAlignment w:val="baseline"/>
        <w:rPr>
          <w:rFonts w:eastAsia="宋体"/>
          <w:b/>
          <w:bCs/>
          <w:kern w:val="0"/>
          <w:sz w:val="20"/>
          <w:szCs w:val="20"/>
        </w:rPr>
      </w:pPr>
      <w:r>
        <w:rPr>
          <w:rFonts w:eastAsia="宋体"/>
          <w:b/>
          <w:bCs/>
          <w:kern w:val="0"/>
          <w:sz w:val="20"/>
          <w:szCs w:val="20"/>
        </w:rPr>
        <w:t xml:space="preserve">- During the common PTW, UE monitor paging based on the shortest of UE specific paging </w:t>
      </w:r>
      <w:r>
        <w:rPr>
          <w:rFonts w:eastAsia="宋体"/>
          <w:b/>
          <w:bCs/>
          <w:kern w:val="0"/>
          <w:sz w:val="20"/>
          <w:szCs w:val="20"/>
        </w:rPr>
        <w:t>cycle, default paging cycle and RAN paging cycle.</w:t>
      </w:r>
    </w:p>
    <w:p w:rsidR="004B0CC0" w:rsidRDefault="00C113A2">
      <w:pPr>
        <w:widowControl/>
        <w:overflowPunct w:val="0"/>
        <w:autoSpaceDE w:val="0"/>
        <w:autoSpaceDN w:val="0"/>
        <w:adjustRightInd w:val="0"/>
        <w:spacing w:beforeLines="50" w:before="156" w:after="120" w:line="240" w:lineRule="auto"/>
        <w:ind w:leftChars="400" w:left="840" w:right="-96"/>
        <w:jc w:val="left"/>
        <w:textAlignment w:val="baseline"/>
        <w:rPr>
          <w:rFonts w:eastAsia="宋体"/>
          <w:b/>
          <w:bCs/>
          <w:kern w:val="0"/>
          <w:sz w:val="20"/>
          <w:szCs w:val="20"/>
        </w:rPr>
      </w:pPr>
      <w:r>
        <w:rPr>
          <w:rFonts w:eastAsia="宋体"/>
          <w:b/>
          <w:bCs/>
          <w:kern w:val="0"/>
          <w:sz w:val="20"/>
          <w:szCs w:val="20"/>
        </w:rPr>
        <w:t>- During PTW for RRC inactive only, UE monitor paging based on RAN paging cycle.</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Following table summarized the cases:</w:t>
      </w:r>
    </w:p>
    <w:tbl>
      <w:tblPr>
        <w:tblStyle w:val="af5"/>
        <w:tblW w:w="0" w:type="auto"/>
        <w:tblLook w:val="04A0" w:firstRow="1" w:lastRow="0" w:firstColumn="1" w:lastColumn="0" w:noHBand="0" w:noVBand="1"/>
      </w:tblPr>
      <w:tblGrid>
        <w:gridCol w:w="762"/>
        <w:gridCol w:w="2100"/>
        <w:gridCol w:w="2100"/>
        <w:gridCol w:w="4581"/>
      </w:tblGrid>
      <w:tr w:rsidR="004B0CC0">
        <w:tc>
          <w:tcPr>
            <w:tcW w:w="762" w:type="dxa"/>
          </w:tcPr>
          <w:p w:rsidR="004B0CC0" w:rsidRDefault="00C113A2">
            <w:pPr>
              <w:widowControl/>
              <w:overflowPunct w:val="0"/>
              <w:autoSpaceDE w:val="0"/>
              <w:autoSpaceDN w:val="0"/>
              <w:adjustRightInd w:val="0"/>
              <w:spacing w:beforeLines="50" w:before="156" w:after="120" w:line="240" w:lineRule="auto"/>
              <w:ind w:right="-96"/>
              <w:jc w:val="center"/>
              <w:textAlignment w:val="baseline"/>
              <w:rPr>
                <w:rFonts w:eastAsia="宋体"/>
                <w:b/>
                <w:bCs/>
                <w:kern w:val="0"/>
                <w:sz w:val="20"/>
                <w:szCs w:val="20"/>
              </w:rPr>
            </w:pPr>
            <w:r>
              <w:rPr>
                <w:rFonts w:eastAsia="宋体"/>
                <w:b/>
                <w:bCs/>
                <w:kern w:val="0"/>
                <w:sz w:val="20"/>
                <w:szCs w:val="20"/>
              </w:rPr>
              <w:t>Cases</w:t>
            </w:r>
          </w:p>
        </w:tc>
        <w:tc>
          <w:tcPr>
            <w:tcW w:w="2100" w:type="dxa"/>
          </w:tcPr>
          <w:p w:rsidR="004B0CC0" w:rsidRDefault="00C113A2">
            <w:pPr>
              <w:widowControl/>
              <w:overflowPunct w:val="0"/>
              <w:autoSpaceDE w:val="0"/>
              <w:autoSpaceDN w:val="0"/>
              <w:adjustRightInd w:val="0"/>
              <w:spacing w:beforeLines="50" w:before="156" w:after="120" w:line="240" w:lineRule="auto"/>
              <w:ind w:right="-96"/>
              <w:jc w:val="center"/>
              <w:textAlignment w:val="baseline"/>
              <w:rPr>
                <w:rFonts w:eastAsia="宋体"/>
                <w:b/>
                <w:bCs/>
                <w:kern w:val="0"/>
                <w:sz w:val="20"/>
                <w:szCs w:val="20"/>
              </w:rPr>
            </w:pPr>
            <w:r>
              <w:rPr>
                <w:rFonts w:eastAsia="宋体"/>
                <w:b/>
                <w:bCs/>
                <w:kern w:val="0"/>
                <w:sz w:val="20"/>
                <w:szCs w:val="20"/>
              </w:rPr>
              <w:t>Configuration For RRC idle</w:t>
            </w:r>
          </w:p>
        </w:tc>
        <w:tc>
          <w:tcPr>
            <w:tcW w:w="2100" w:type="dxa"/>
          </w:tcPr>
          <w:p w:rsidR="004B0CC0" w:rsidRDefault="00C113A2">
            <w:pPr>
              <w:widowControl/>
              <w:overflowPunct w:val="0"/>
              <w:autoSpaceDE w:val="0"/>
              <w:autoSpaceDN w:val="0"/>
              <w:adjustRightInd w:val="0"/>
              <w:spacing w:beforeLines="50" w:before="156" w:after="120" w:line="240" w:lineRule="auto"/>
              <w:ind w:right="-96"/>
              <w:jc w:val="center"/>
              <w:textAlignment w:val="baseline"/>
              <w:rPr>
                <w:rFonts w:eastAsia="宋体"/>
                <w:b/>
                <w:bCs/>
                <w:kern w:val="0"/>
                <w:sz w:val="20"/>
                <w:szCs w:val="20"/>
              </w:rPr>
            </w:pPr>
            <w:r>
              <w:rPr>
                <w:rFonts w:eastAsia="宋体"/>
                <w:b/>
                <w:bCs/>
                <w:kern w:val="0"/>
                <w:sz w:val="20"/>
                <w:szCs w:val="20"/>
              </w:rPr>
              <w:t>Configuration For RRC inactive</w:t>
            </w:r>
          </w:p>
        </w:tc>
        <w:tc>
          <w:tcPr>
            <w:tcW w:w="4581" w:type="dxa"/>
          </w:tcPr>
          <w:p w:rsidR="004B0CC0" w:rsidRDefault="00C113A2">
            <w:pPr>
              <w:widowControl/>
              <w:overflowPunct w:val="0"/>
              <w:autoSpaceDE w:val="0"/>
              <w:autoSpaceDN w:val="0"/>
              <w:adjustRightInd w:val="0"/>
              <w:spacing w:beforeLines="50" w:before="156" w:after="120" w:line="240" w:lineRule="auto"/>
              <w:ind w:right="-96"/>
              <w:jc w:val="center"/>
              <w:textAlignment w:val="baseline"/>
              <w:rPr>
                <w:rFonts w:eastAsia="宋体"/>
                <w:b/>
                <w:bCs/>
                <w:kern w:val="0"/>
                <w:sz w:val="20"/>
                <w:szCs w:val="20"/>
              </w:rPr>
            </w:pPr>
            <w:r>
              <w:rPr>
                <w:rFonts w:eastAsia="宋体"/>
                <w:b/>
                <w:bCs/>
                <w:kern w:val="0"/>
                <w:sz w:val="20"/>
                <w:szCs w:val="20"/>
              </w:rPr>
              <w:t>Paging monitor rule</w:t>
            </w:r>
          </w:p>
        </w:tc>
      </w:tr>
      <w:tr w:rsidR="004B0CC0">
        <w:tc>
          <w:tcPr>
            <w:tcW w:w="762" w:type="dxa"/>
          </w:tcPr>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Case 1</w:t>
            </w:r>
          </w:p>
        </w:tc>
        <w:tc>
          <w:tcPr>
            <w:tcW w:w="2100" w:type="dxa"/>
          </w:tcPr>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eDRX cycle &lt; = 10.24s</w:t>
            </w:r>
          </w:p>
        </w:tc>
        <w:tc>
          <w:tcPr>
            <w:tcW w:w="2100" w:type="dxa"/>
          </w:tcPr>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eDRX cycle &lt; = 10.24s</w:t>
            </w:r>
          </w:p>
        </w:tc>
        <w:tc>
          <w:tcPr>
            <w:tcW w:w="4581" w:type="dxa"/>
          </w:tcPr>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xml:space="preserve">T= common eDRX cycle </w:t>
            </w:r>
          </w:p>
        </w:tc>
      </w:tr>
      <w:tr w:rsidR="004B0CC0">
        <w:tc>
          <w:tcPr>
            <w:tcW w:w="762" w:type="dxa"/>
          </w:tcPr>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lastRenderedPageBreak/>
              <w:t>Case 2</w:t>
            </w:r>
          </w:p>
          <w:p w:rsidR="004B0CC0" w:rsidRDefault="004B0CC0">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p>
        </w:tc>
        <w:tc>
          <w:tcPr>
            <w:tcW w:w="2100" w:type="dxa"/>
          </w:tcPr>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eDRX cycle &gt; 10.24s</w:t>
            </w:r>
          </w:p>
        </w:tc>
        <w:tc>
          <w:tcPr>
            <w:tcW w:w="2100" w:type="dxa"/>
          </w:tcPr>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eDRX cycle &lt;= 10.24s</w:t>
            </w:r>
          </w:p>
        </w:tc>
        <w:tc>
          <w:tcPr>
            <w:tcW w:w="4581" w:type="dxa"/>
          </w:tcPr>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During idle PTW: T=shortest of UE specific paging cycle, default paging cycle, RAN paging cycle</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xml:space="preserve">Out of idle PTW: T= eDRX cycle </w:t>
            </w:r>
            <w:r>
              <w:rPr>
                <w:rFonts w:eastAsia="宋体"/>
                <w:kern w:val="0"/>
                <w:sz w:val="20"/>
                <w:szCs w:val="20"/>
              </w:rPr>
              <w:t>inactive</w:t>
            </w:r>
          </w:p>
        </w:tc>
      </w:tr>
      <w:tr w:rsidR="004B0CC0">
        <w:tc>
          <w:tcPr>
            <w:tcW w:w="762" w:type="dxa"/>
          </w:tcPr>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Case 3</w:t>
            </w:r>
          </w:p>
        </w:tc>
        <w:tc>
          <w:tcPr>
            <w:tcW w:w="2100" w:type="dxa"/>
          </w:tcPr>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eDRX cycle &gt; 10.24s</w:t>
            </w:r>
          </w:p>
        </w:tc>
        <w:tc>
          <w:tcPr>
            <w:tcW w:w="2100" w:type="dxa"/>
          </w:tcPr>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eDRX cycle &gt; 10.24s</w:t>
            </w:r>
          </w:p>
        </w:tc>
        <w:tc>
          <w:tcPr>
            <w:tcW w:w="4581" w:type="dxa"/>
          </w:tcPr>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xml:space="preserve">During common PTW: T=shortest of UE specific paging cycle, default paging cycle, RAN paging cycle </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During inactive PTW: T= RAN paging cycle</w:t>
            </w:r>
          </w:p>
        </w:tc>
      </w:tr>
    </w:tbl>
    <w:p w:rsidR="004B0CC0" w:rsidRDefault="004B0CC0">
      <w:pPr>
        <w:spacing w:line="240" w:lineRule="auto"/>
        <w:jc w:val="left"/>
      </w:pPr>
    </w:p>
    <w:p w:rsidR="004B0CC0" w:rsidRDefault="00C113A2">
      <w:pPr>
        <w:spacing w:line="240" w:lineRule="auto"/>
        <w:jc w:val="left"/>
        <w:rPr>
          <w:sz w:val="20"/>
          <w:szCs w:val="20"/>
        </w:rPr>
      </w:pPr>
      <w:r>
        <w:rPr>
          <w:sz w:val="20"/>
          <w:szCs w:val="20"/>
        </w:rPr>
        <w:t xml:space="preserve">Another issue is related to system information change notification and acquisition. UE operating in eDRX UE may miss system information change notification is eDRX cycle is longer than SI modification period. In LTE-M/NB-IoT, </w:t>
      </w:r>
      <w:r>
        <w:rPr>
          <w:sz w:val="20"/>
          <w:szCs w:val="20"/>
        </w:rPr>
        <w:t>an eDRX acquisition period</w:t>
      </w:r>
      <w:r>
        <w:rPr>
          <w:sz w:val="20"/>
          <w:szCs w:val="20"/>
        </w:rPr>
        <w:t xml:space="preserve"> mec</w:t>
      </w:r>
      <w:r>
        <w:rPr>
          <w:sz w:val="20"/>
          <w:szCs w:val="20"/>
        </w:rPr>
        <w:t xml:space="preserve">hanism is defined to address this issue. An SI change indicator specific for eDRX UE is defined in short message/paging message. Upon receiving this indicator, UE operating in eDRX </w:t>
      </w:r>
      <w:r>
        <w:rPr>
          <w:sz w:val="20"/>
          <w:szCs w:val="20"/>
        </w:rPr>
        <w:t>acquire</w:t>
      </w:r>
      <w:r>
        <w:rPr>
          <w:sz w:val="20"/>
          <w:szCs w:val="20"/>
        </w:rPr>
        <w:t>s</w:t>
      </w:r>
      <w:r>
        <w:rPr>
          <w:sz w:val="20"/>
          <w:szCs w:val="20"/>
        </w:rPr>
        <w:t xml:space="preserve"> system information immediately from the start of the next eDRX acq</w:t>
      </w:r>
      <w:r>
        <w:rPr>
          <w:sz w:val="20"/>
          <w:szCs w:val="20"/>
        </w:rPr>
        <w:t>uisition period.</w:t>
      </w:r>
      <w:r>
        <w:rPr>
          <w:sz w:val="20"/>
          <w:szCs w:val="20"/>
        </w:rPr>
        <w:t xml:space="preserve"> The length of eDRX </w:t>
      </w:r>
      <w:r>
        <w:rPr>
          <w:sz w:val="20"/>
          <w:szCs w:val="20"/>
        </w:rPr>
        <w:t>acquisition</w:t>
      </w:r>
      <w:r>
        <w:rPr>
          <w:sz w:val="20"/>
          <w:szCs w:val="20"/>
        </w:rPr>
        <w:t xml:space="preserve"> period depends on the upper bound of eDRX cycle. The NW should ensure eDRX UE can receive paging message during the eDRX acquisition period, i.e. keep the SI related to paging reception unchanged during acqui</w:t>
      </w:r>
      <w:r>
        <w:rPr>
          <w:sz w:val="20"/>
          <w:szCs w:val="20"/>
        </w:rPr>
        <w:t>sition period. This mechanism can be reused for NR redcap.</w:t>
      </w:r>
    </w:p>
    <w:p w:rsidR="004B0CC0" w:rsidRDefault="00C113A2">
      <w:pPr>
        <w:widowControl/>
        <w:tabs>
          <w:tab w:val="left" w:pos="840"/>
        </w:tabs>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t xml:space="preserve">Proposal </w:t>
      </w:r>
      <w:r>
        <w:rPr>
          <w:rFonts w:eastAsia="宋体" w:hint="eastAsia"/>
          <w:b/>
          <w:bCs/>
          <w:kern w:val="0"/>
          <w:sz w:val="20"/>
          <w:szCs w:val="20"/>
        </w:rPr>
        <w:t>8</w:t>
      </w:r>
      <w:r>
        <w:rPr>
          <w:rFonts w:eastAsia="宋体"/>
          <w:b/>
          <w:bCs/>
          <w:kern w:val="0"/>
          <w:sz w:val="20"/>
          <w:szCs w:val="20"/>
        </w:rPr>
        <w:t>: To introduce eDRX UE specific SI change indicator in NR paging message/short message. Upon receiving this indicator, UE operating in eDRX acquires updated system information at the begi</w:t>
      </w:r>
      <w:r>
        <w:rPr>
          <w:rFonts w:eastAsia="宋体"/>
          <w:b/>
          <w:bCs/>
          <w:kern w:val="0"/>
          <w:sz w:val="20"/>
          <w:szCs w:val="20"/>
        </w:rPr>
        <w:t>nning of next eDRX acquisition period.</w:t>
      </w:r>
    </w:p>
    <w:p w:rsidR="004B0CC0" w:rsidRDefault="00C113A2">
      <w:pPr>
        <w:spacing w:line="240" w:lineRule="auto"/>
        <w:jc w:val="left"/>
        <w:rPr>
          <w:sz w:val="20"/>
          <w:szCs w:val="20"/>
        </w:rPr>
      </w:pPr>
      <w:r>
        <w:rPr>
          <w:sz w:val="20"/>
          <w:szCs w:val="20"/>
        </w:rPr>
        <w:t>If the system information is already updated before the next eDRX acquisition period. UE operating in eDRX should update SI before initiate RRC setup or RRC resume. In LTE-M/NB-IoT, it is up to the UE to check whether</w:t>
      </w:r>
      <w:r>
        <w:rPr>
          <w:sz w:val="20"/>
          <w:szCs w:val="20"/>
        </w:rPr>
        <w:t xml:space="preserve"> its local stored SI message is still valid. LTE-M and NB-IoT provides mechanism for fast validation, i.e. SI value tag in NB-IoT MIB, and system information unchanged indicator in LTE-M MIB.</w:t>
      </w:r>
    </w:p>
    <w:p w:rsidR="004B0CC0" w:rsidRDefault="00C113A2">
      <w:pPr>
        <w:spacing w:line="240" w:lineRule="auto"/>
        <w:jc w:val="left"/>
        <w:rPr>
          <w:sz w:val="20"/>
          <w:szCs w:val="20"/>
        </w:rPr>
      </w:pPr>
      <w:r>
        <w:rPr>
          <w:sz w:val="20"/>
          <w:szCs w:val="20"/>
        </w:rPr>
        <w:t>This mechanism can also be reused for NR redcap, i.e. it is up t</w:t>
      </w:r>
      <w:r>
        <w:rPr>
          <w:sz w:val="20"/>
          <w:szCs w:val="20"/>
        </w:rPr>
        <w:t>o UE to validate its local stored SI before initiate RACH, e.g. for periodic RNAU or small data transmission.</w:t>
      </w:r>
    </w:p>
    <w:p w:rsidR="004B0CC0" w:rsidRDefault="00C113A2">
      <w:pPr>
        <w:widowControl/>
        <w:tabs>
          <w:tab w:val="left" w:pos="840"/>
        </w:tabs>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t xml:space="preserve">Proposal </w:t>
      </w:r>
      <w:r>
        <w:rPr>
          <w:rFonts w:eastAsia="宋体" w:hint="eastAsia"/>
          <w:b/>
          <w:bCs/>
          <w:kern w:val="0"/>
          <w:sz w:val="20"/>
          <w:szCs w:val="20"/>
        </w:rPr>
        <w:t>9</w:t>
      </w:r>
      <w:r>
        <w:rPr>
          <w:rFonts w:eastAsia="宋体"/>
          <w:b/>
          <w:bCs/>
          <w:kern w:val="0"/>
          <w:sz w:val="20"/>
          <w:szCs w:val="20"/>
        </w:rPr>
        <w:t>: UE operating in eDRX validate its stored SI before initiate RRC setup or RRC resume.</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xml:space="preserve">In SI phase, two options are captured in TR regarding which node configure eDRX for RRC inactive. </w:t>
      </w:r>
    </w:p>
    <w:tbl>
      <w:tblPr>
        <w:tblStyle w:val="af5"/>
        <w:tblW w:w="0" w:type="auto"/>
        <w:tblLook w:val="04A0" w:firstRow="1" w:lastRow="0" w:firstColumn="1" w:lastColumn="0" w:noHBand="0" w:noVBand="1"/>
      </w:tblPr>
      <w:tblGrid>
        <w:gridCol w:w="9628"/>
      </w:tblGrid>
      <w:tr w:rsidR="004B0CC0">
        <w:tc>
          <w:tcPr>
            <w:tcW w:w="9854" w:type="dxa"/>
          </w:tcPr>
          <w:p w:rsidR="004B0CC0" w:rsidRDefault="00C113A2">
            <w:pPr>
              <w:widowControl/>
              <w:spacing w:after="180" w:line="240" w:lineRule="auto"/>
              <w:jc w:val="left"/>
              <w:rPr>
                <w:rFonts w:eastAsia="等线"/>
                <w:kern w:val="0"/>
                <w:sz w:val="20"/>
                <w:szCs w:val="22"/>
                <w:lang w:val="en-GB" w:eastAsia="en-US"/>
              </w:rPr>
            </w:pPr>
            <w:r>
              <w:rPr>
                <w:rFonts w:eastAsia="等线"/>
                <w:kern w:val="0"/>
                <w:sz w:val="20"/>
                <w:szCs w:val="22"/>
                <w:lang w:val="en-GB" w:eastAsia="en-US"/>
              </w:rPr>
              <w:t>Two options should be considered for the deciding node for the eDRX configuration for RRC_INACTIVE:</w:t>
            </w:r>
          </w:p>
          <w:p w:rsidR="004B0CC0" w:rsidRDefault="00C113A2">
            <w:pPr>
              <w:spacing w:after="180"/>
              <w:ind w:left="568" w:hanging="284"/>
              <w:rPr>
                <w:rFonts w:eastAsia="等线"/>
                <w:lang w:val="en-GB" w:eastAsia="en-US"/>
              </w:rPr>
            </w:pPr>
            <w:r>
              <w:rPr>
                <w:rFonts w:eastAsia="等线"/>
                <w:b/>
                <w:bCs/>
                <w:lang w:val="en-GB" w:eastAsia="en-US"/>
              </w:rPr>
              <w:t>Option 1</w:t>
            </w:r>
            <w:r>
              <w:rPr>
                <w:rFonts w:eastAsia="等线"/>
                <w:lang w:val="en-GB" w:eastAsia="en-US"/>
              </w:rPr>
              <w:t>: CN decides the eDRX parameters for RRC_INACTIVE</w:t>
            </w:r>
            <w:r>
              <w:rPr>
                <w:rFonts w:eastAsia="等线"/>
                <w:lang w:val="en-GB" w:eastAsia="en-US"/>
              </w:rPr>
              <w:t>.</w:t>
            </w:r>
          </w:p>
          <w:p w:rsidR="004B0CC0" w:rsidRDefault="00C113A2">
            <w:pPr>
              <w:spacing w:after="180"/>
              <w:ind w:left="851" w:hanging="284"/>
              <w:rPr>
                <w:rFonts w:eastAsia="等线"/>
                <w:lang w:val="en-GB" w:eastAsia="en-US"/>
              </w:rPr>
            </w:pPr>
            <w:r>
              <w:rPr>
                <w:rFonts w:eastAsia="等线"/>
                <w:lang w:val="en-GB" w:eastAsia="en-US"/>
              </w:rPr>
              <w:t>-</w:t>
            </w:r>
            <w:r>
              <w:rPr>
                <w:rFonts w:eastAsia="等线"/>
                <w:lang w:val="en-GB" w:eastAsia="en-US"/>
              </w:rPr>
              <w:tab/>
              <w:t>CN has better insight on the UE traffic profile.</w:t>
            </w:r>
          </w:p>
          <w:p w:rsidR="004B0CC0" w:rsidRDefault="00C113A2">
            <w:pPr>
              <w:spacing w:after="180"/>
              <w:ind w:left="851" w:hanging="284"/>
              <w:rPr>
                <w:rFonts w:eastAsia="等线"/>
                <w:lang w:val="en-GB" w:eastAsia="en-US"/>
              </w:rPr>
            </w:pPr>
            <w:r>
              <w:rPr>
                <w:rFonts w:eastAsia="等线"/>
                <w:lang w:val="en-GB" w:eastAsia="en-US"/>
              </w:rPr>
              <w:t>-</w:t>
            </w:r>
            <w:r>
              <w:rPr>
                <w:rFonts w:eastAsia="等线"/>
                <w:lang w:val="en-GB" w:eastAsia="en-US"/>
              </w:rPr>
              <w:tab/>
              <w:t>Better for addressing potential core network impacts.</w:t>
            </w:r>
          </w:p>
          <w:p w:rsidR="004B0CC0" w:rsidRDefault="00C113A2">
            <w:pPr>
              <w:spacing w:after="180"/>
              <w:ind w:left="851" w:hanging="284"/>
              <w:rPr>
                <w:rFonts w:eastAsia="等线"/>
                <w:lang w:val="en-GB" w:eastAsia="en-US"/>
              </w:rPr>
            </w:pPr>
            <w:r>
              <w:rPr>
                <w:rFonts w:eastAsia="等线"/>
                <w:lang w:val="en-GB" w:eastAsia="en-US"/>
              </w:rPr>
              <w:t>-</w:t>
            </w:r>
            <w:r>
              <w:rPr>
                <w:rFonts w:eastAsia="等线"/>
                <w:lang w:val="en-GB" w:eastAsia="en-US"/>
              </w:rPr>
              <w:tab/>
              <w:t>CN is responsible for eDRX in RRC_IDLE (and UE needs to monitor for CN paging also in RRC_INACTIVE).</w:t>
            </w:r>
          </w:p>
          <w:p w:rsidR="004B0CC0" w:rsidRDefault="00C113A2">
            <w:pPr>
              <w:spacing w:after="180"/>
              <w:ind w:left="851" w:hanging="284"/>
              <w:rPr>
                <w:rFonts w:eastAsia="等线"/>
                <w:lang w:val="en-GB" w:eastAsia="en-US"/>
              </w:rPr>
            </w:pPr>
            <w:r>
              <w:rPr>
                <w:rFonts w:eastAsia="等线"/>
                <w:lang w:val="en-GB" w:eastAsia="en-US"/>
              </w:rPr>
              <w:t>-</w:t>
            </w:r>
            <w:r>
              <w:rPr>
                <w:rFonts w:eastAsia="等线"/>
                <w:lang w:val="en-GB" w:eastAsia="en-US"/>
              </w:rPr>
              <w:tab/>
              <w:t>If RAN2 agrees to consider a common PTW an</w:t>
            </w:r>
            <w:r>
              <w:rPr>
                <w:rFonts w:eastAsia="等线"/>
                <w:lang w:val="en-GB" w:eastAsia="en-US"/>
              </w:rPr>
              <w:t xml:space="preserve">d eDRX cycle configuration, CN based eDRX configuration can be supported with minimum impact to specifications where RAN follows the CN configured cycle. This common configuration can additionally be justified by its simplicity and less </w:t>
            </w:r>
            <w:r>
              <w:rPr>
                <w:rFonts w:eastAsia="等线"/>
                <w:lang w:val="en-GB" w:eastAsia="en-US"/>
              </w:rPr>
              <w:lastRenderedPageBreak/>
              <w:t>expected impacts to</w:t>
            </w:r>
            <w:r>
              <w:rPr>
                <w:rFonts w:eastAsia="等线"/>
                <w:lang w:val="en-GB" w:eastAsia="en-US"/>
              </w:rPr>
              <w:t xml:space="preserve"> other WGs.</w:t>
            </w:r>
          </w:p>
          <w:p w:rsidR="004B0CC0" w:rsidRDefault="00C113A2">
            <w:pPr>
              <w:spacing w:after="180"/>
              <w:ind w:left="568" w:hanging="284"/>
              <w:rPr>
                <w:rFonts w:eastAsia="等线"/>
                <w:lang w:val="en-GB" w:eastAsia="en-US"/>
              </w:rPr>
            </w:pPr>
            <w:r>
              <w:rPr>
                <w:rFonts w:eastAsia="等线"/>
                <w:b/>
                <w:bCs/>
                <w:lang w:val="en-GB" w:eastAsia="en-US"/>
              </w:rPr>
              <w:t>Option 2</w:t>
            </w:r>
            <w:r>
              <w:rPr>
                <w:rFonts w:eastAsia="等线"/>
                <w:lang w:val="en-GB" w:eastAsia="en-US"/>
              </w:rPr>
              <w:t>: RAN decides the eDRX parameters for RRC_INACTIVE</w:t>
            </w:r>
          </w:p>
          <w:p w:rsidR="004B0CC0" w:rsidRDefault="00C113A2">
            <w:pPr>
              <w:spacing w:after="180"/>
              <w:ind w:left="851" w:hanging="284"/>
              <w:rPr>
                <w:rFonts w:eastAsia="等线"/>
                <w:lang w:val="en-GB" w:eastAsia="en-US"/>
              </w:rPr>
            </w:pPr>
            <w:r>
              <w:rPr>
                <w:rFonts w:eastAsia="等线"/>
                <w:lang w:val="en-GB" w:eastAsia="en-US"/>
              </w:rPr>
              <w:t>-</w:t>
            </w:r>
            <w:r>
              <w:rPr>
                <w:rFonts w:eastAsia="等线"/>
                <w:lang w:val="en-GB" w:eastAsia="en-US"/>
              </w:rPr>
              <w:tab/>
              <w:t>It provides more flexibility to the RAN node in the configuration of the eDRX parameters.</w:t>
            </w:r>
          </w:p>
          <w:p w:rsidR="004B0CC0" w:rsidRDefault="00C113A2">
            <w:pPr>
              <w:spacing w:after="180"/>
              <w:ind w:left="851" w:hanging="284"/>
              <w:rPr>
                <w:rFonts w:eastAsia="等线"/>
                <w:lang w:val="en-GB" w:eastAsia="en-US"/>
              </w:rPr>
            </w:pPr>
            <w:r>
              <w:rPr>
                <w:rFonts w:eastAsia="等线"/>
                <w:lang w:val="en-GB" w:eastAsia="en-US"/>
              </w:rPr>
              <w:t>-</w:t>
            </w:r>
            <w:r>
              <w:rPr>
                <w:rFonts w:eastAsia="等线"/>
                <w:lang w:val="en-GB" w:eastAsia="en-US"/>
              </w:rPr>
              <w:tab/>
              <w:t>It allows RAN to configure different eDRX cycle for RRC INACTIVE.</w:t>
            </w:r>
          </w:p>
          <w:p w:rsidR="004B0CC0" w:rsidRDefault="00C113A2">
            <w:pPr>
              <w:spacing w:after="180"/>
              <w:ind w:left="851" w:hanging="284"/>
              <w:rPr>
                <w:rFonts w:eastAsia="宋体"/>
                <w:kern w:val="0"/>
                <w:sz w:val="20"/>
                <w:szCs w:val="20"/>
              </w:rPr>
            </w:pPr>
            <w:r>
              <w:rPr>
                <w:rFonts w:eastAsia="等线"/>
                <w:lang w:val="en-GB" w:eastAsia="en-US"/>
              </w:rPr>
              <w:t>-</w:t>
            </w:r>
            <w:r>
              <w:rPr>
                <w:rFonts w:eastAsia="等线"/>
                <w:lang w:val="en-GB" w:eastAsia="en-US"/>
              </w:rPr>
              <w:tab/>
              <w:t xml:space="preserve">In R16 LTE-M connected </w:t>
            </w:r>
            <w:r>
              <w:rPr>
                <w:rFonts w:eastAsia="等线"/>
                <w:lang w:val="en-GB" w:eastAsia="en-US"/>
              </w:rPr>
              <w:t>to 5GC, NR-RAN chooses and configures the final eDRX cycle for RRC_INACTIVE (configuration is possible up to 10.24 seconds), based on idle mode eDRX cycle as provided by the AMF.</w:t>
            </w:r>
          </w:p>
        </w:tc>
      </w:tr>
    </w:tbl>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lastRenderedPageBreak/>
        <w:t xml:space="preserve">Per our understanding, the main pro of option 1 is CN has better insight on </w:t>
      </w:r>
      <w:r>
        <w:rPr>
          <w:rFonts w:eastAsia="宋体"/>
          <w:kern w:val="0"/>
          <w:sz w:val="20"/>
          <w:szCs w:val="20"/>
        </w:rPr>
        <w:t>UE traffic profile. Considering the main intention to have eDRX cycle larger than 10.24s for RRC inactive is to enable small data transmission, the traffic profile should be the main factor in determination of eDRX cycle length.</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Further, it is more natural</w:t>
      </w:r>
      <w:r>
        <w:rPr>
          <w:rFonts w:eastAsia="宋体"/>
          <w:kern w:val="0"/>
          <w:sz w:val="20"/>
          <w:szCs w:val="20"/>
        </w:rPr>
        <w:t xml:space="preserve"> for CN configure common eDRX cycle between RRC idle and RRC inactive in the case eDRX cycle is no larger than 10.24s. And option 1 also allows different eDRX configuration in the case eDRX cycle is larger than 10.24s.</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xml:space="preserve">Considering eDRX for RRC inactive is </w:t>
      </w:r>
      <w:r>
        <w:rPr>
          <w:rFonts w:eastAsia="宋体"/>
          <w:kern w:val="0"/>
          <w:sz w:val="20"/>
          <w:szCs w:val="20"/>
        </w:rPr>
        <w:t>used for RAN paging, CN should inform it before gNB transit UE to RRC inactive. CN can include eDRX cycle for RRC inactive to gNB via initial UE context setup and modification procedure, similar to that in LTE-M/NB-IoT connected to 5GC.</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t>Proposal 1</w:t>
      </w:r>
      <w:r>
        <w:rPr>
          <w:rFonts w:eastAsia="宋体" w:hint="eastAsia"/>
          <w:b/>
          <w:bCs/>
          <w:kern w:val="0"/>
          <w:sz w:val="20"/>
          <w:szCs w:val="20"/>
        </w:rPr>
        <w:t>0</w:t>
      </w:r>
      <w:r>
        <w:rPr>
          <w:rFonts w:eastAsia="宋体"/>
          <w:b/>
          <w:bCs/>
          <w:kern w:val="0"/>
          <w:sz w:val="20"/>
          <w:szCs w:val="20"/>
        </w:rPr>
        <w:t>: CN dec</w:t>
      </w:r>
      <w:r>
        <w:rPr>
          <w:rFonts w:eastAsia="宋体"/>
          <w:b/>
          <w:bCs/>
          <w:kern w:val="0"/>
          <w:sz w:val="20"/>
          <w:szCs w:val="20"/>
        </w:rPr>
        <w:t>ides eDRX configuration for RRC inactive. CN transmit</w:t>
      </w:r>
      <w:r w:rsidR="0060686A">
        <w:rPr>
          <w:rFonts w:eastAsia="宋体"/>
          <w:b/>
          <w:bCs/>
          <w:kern w:val="0"/>
          <w:sz w:val="20"/>
          <w:szCs w:val="20"/>
        </w:rPr>
        <w:t>s</w:t>
      </w:r>
      <w:r>
        <w:rPr>
          <w:rFonts w:eastAsia="宋体"/>
          <w:b/>
          <w:bCs/>
          <w:kern w:val="0"/>
          <w:sz w:val="20"/>
          <w:szCs w:val="20"/>
        </w:rPr>
        <w:t xml:space="preserve"> eDRX configuration for RRC inactive to gNB via initial UE context setup and </w:t>
      </w:r>
      <w:r w:rsidR="0060686A">
        <w:rPr>
          <w:rFonts w:eastAsia="宋体"/>
          <w:b/>
          <w:bCs/>
          <w:kern w:val="0"/>
          <w:sz w:val="20"/>
          <w:szCs w:val="20"/>
        </w:rPr>
        <w:t xml:space="preserve">UE context </w:t>
      </w:r>
      <w:r>
        <w:rPr>
          <w:rFonts w:eastAsia="宋体"/>
          <w:b/>
          <w:bCs/>
          <w:kern w:val="0"/>
          <w:sz w:val="20"/>
          <w:szCs w:val="20"/>
        </w:rPr>
        <w:t>modification procedure</w:t>
      </w:r>
      <w:r w:rsidR="0060686A">
        <w:rPr>
          <w:rFonts w:eastAsia="宋体"/>
          <w:b/>
          <w:bCs/>
          <w:kern w:val="0"/>
          <w:sz w:val="20"/>
          <w:szCs w:val="20"/>
        </w:rPr>
        <w:t>s</w:t>
      </w:r>
      <w:r>
        <w:rPr>
          <w:rFonts w:eastAsia="宋体"/>
          <w:b/>
          <w:bCs/>
          <w:kern w:val="0"/>
          <w:sz w:val="20"/>
          <w:szCs w:val="20"/>
        </w:rPr>
        <w:t>.</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The eDRX configuration for RRC idle is negotiated between UE and CN in NAS layer. For eDRX for RRC ina</w:t>
      </w:r>
      <w:r>
        <w:rPr>
          <w:rFonts w:eastAsia="宋体"/>
          <w:kern w:val="0"/>
          <w:sz w:val="20"/>
          <w:szCs w:val="20"/>
        </w:rPr>
        <w:t>ctive configuration, there are two options regarding how to configure it to UE: one option is via RRC release message, and another via NAS message as eDRX for RRC idle. Option 1 is more natural and flexible from RAN point of view. And option 1 has no impac</w:t>
      </w:r>
      <w:r>
        <w:rPr>
          <w:rFonts w:eastAsia="宋体"/>
          <w:kern w:val="0"/>
          <w:sz w:val="20"/>
          <w:szCs w:val="20"/>
        </w:rPr>
        <w:t>t on NAS specification. Option 2 is also feasible if CN decides eDRX for RRC inactive.</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t>Proposal 1</w:t>
      </w:r>
      <w:r>
        <w:rPr>
          <w:rFonts w:eastAsia="宋体" w:hint="eastAsia"/>
          <w:b/>
          <w:bCs/>
          <w:kern w:val="0"/>
          <w:sz w:val="20"/>
          <w:szCs w:val="20"/>
        </w:rPr>
        <w:t>1</w:t>
      </w:r>
      <w:r>
        <w:rPr>
          <w:rFonts w:eastAsia="宋体"/>
          <w:b/>
          <w:bCs/>
          <w:kern w:val="0"/>
          <w:sz w:val="20"/>
          <w:szCs w:val="20"/>
        </w:rPr>
        <w:t>: RAN2 to discuss how to signal eDRX for RRC inactive to UE:</w:t>
      </w:r>
    </w:p>
    <w:p w:rsidR="004B0CC0" w:rsidRDefault="00C113A2">
      <w:pPr>
        <w:widowControl/>
        <w:overflowPunct w:val="0"/>
        <w:autoSpaceDE w:val="0"/>
        <w:autoSpaceDN w:val="0"/>
        <w:adjustRightInd w:val="0"/>
        <w:spacing w:beforeLines="50" w:before="156" w:after="120" w:line="240" w:lineRule="auto"/>
        <w:ind w:leftChars="400" w:left="840" w:right="-96"/>
        <w:jc w:val="left"/>
        <w:textAlignment w:val="baseline"/>
        <w:rPr>
          <w:rFonts w:eastAsia="宋体"/>
          <w:b/>
          <w:bCs/>
          <w:kern w:val="0"/>
          <w:sz w:val="20"/>
          <w:szCs w:val="20"/>
        </w:rPr>
      </w:pPr>
      <w:r>
        <w:rPr>
          <w:rFonts w:eastAsia="宋体"/>
          <w:b/>
          <w:bCs/>
          <w:kern w:val="0"/>
          <w:sz w:val="20"/>
          <w:szCs w:val="20"/>
        </w:rPr>
        <w:t>Option 1: via RRC release message.</w:t>
      </w:r>
    </w:p>
    <w:p w:rsidR="004B0CC0" w:rsidRDefault="00C113A2">
      <w:pPr>
        <w:widowControl/>
        <w:overflowPunct w:val="0"/>
        <w:autoSpaceDE w:val="0"/>
        <w:autoSpaceDN w:val="0"/>
        <w:adjustRightInd w:val="0"/>
        <w:spacing w:beforeLines="50" w:before="156" w:after="120" w:line="240" w:lineRule="auto"/>
        <w:ind w:leftChars="400" w:left="840" w:right="-96"/>
        <w:jc w:val="left"/>
        <w:textAlignment w:val="baseline"/>
        <w:rPr>
          <w:rFonts w:eastAsia="宋体"/>
          <w:b/>
          <w:bCs/>
          <w:kern w:val="0"/>
          <w:sz w:val="20"/>
          <w:szCs w:val="20"/>
        </w:rPr>
      </w:pPr>
      <w:r>
        <w:rPr>
          <w:rFonts w:eastAsia="宋体"/>
          <w:b/>
          <w:bCs/>
          <w:kern w:val="0"/>
          <w:sz w:val="20"/>
          <w:szCs w:val="20"/>
        </w:rPr>
        <w:t>Option 2: via NAS procedure.</w:t>
      </w:r>
    </w:p>
    <w:p w:rsidR="004B0CC0" w:rsidRDefault="00C113A2">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Conclusion</w:t>
      </w:r>
    </w:p>
    <w:p w:rsidR="0060686A" w:rsidRDefault="0060686A" w:rsidP="0060686A">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t>Proposal 1: Send LS to SA2/CT1 to check the mechanism and feasibility to support eDRX cycle up to 10485.76s for RRC inactive and RRC idle.</w:t>
      </w:r>
    </w:p>
    <w:p w:rsidR="0060686A" w:rsidRDefault="0060686A" w:rsidP="0060686A">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b/>
          <w:bCs/>
          <w:kern w:val="0"/>
          <w:sz w:val="20"/>
          <w:szCs w:val="20"/>
        </w:rPr>
        <w:t>Proposal 2: The eDRX for RRC inactive can be configured only when eDRX for RRC idle is configured. If configured, the eDRX cycle for RRC inactive is no longer than eDRX cycle for RRC idle.</w:t>
      </w:r>
    </w:p>
    <w:p w:rsidR="0060686A" w:rsidRDefault="0060686A" w:rsidP="0060686A">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t>Proposal 3: UE in RRC inactive can be configured with eDRX for RRC idle but without eDRX for RRC inactive.</w:t>
      </w:r>
    </w:p>
    <w:p w:rsidR="0060686A" w:rsidRDefault="0060686A" w:rsidP="0060686A">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t>Proposal 4: To support “common PTW with different eDRX cycle” in the case eDRX cycle for both RRC idle and RRC inactive are larger than 10.24s.</w:t>
      </w:r>
    </w:p>
    <w:p w:rsidR="0060686A" w:rsidRDefault="0060686A" w:rsidP="0060686A">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lastRenderedPageBreak/>
        <w:t xml:space="preserve">Proposal </w:t>
      </w:r>
      <w:r>
        <w:rPr>
          <w:rFonts w:eastAsia="宋体" w:hint="eastAsia"/>
          <w:b/>
          <w:bCs/>
          <w:kern w:val="0"/>
          <w:sz w:val="20"/>
          <w:szCs w:val="20"/>
        </w:rPr>
        <w:t>5</w:t>
      </w:r>
      <w:r>
        <w:rPr>
          <w:rFonts w:eastAsia="宋体"/>
          <w:b/>
          <w:bCs/>
          <w:kern w:val="0"/>
          <w:sz w:val="20"/>
          <w:szCs w:val="20"/>
        </w:rPr>
        <w:t xml:space="preserve">: In case eDRX cycle for RRC idle and RRC inactive are no longer than 10.24s, set </w:t>
      </w:r>
      <w:r w:rsidRPr="0060686A">
        <w:rPr>
          <w:rFonts w:eastAsia="宋体"/>
          <w:b/>
          <w:bCs/>
          <w:kern w:val="0"/>
          <w:sz w:val="20"/>
          <w:szCs w:val="20"/>
        </w:rPr>
        <w:t>the common</w:t>
      </w:r>
      <w:r>
        <w:rPr>
          <w:rFonts w:eastAsia="宋体"/>
          <w:b/>
          <w:bCs/>
          <w:kern w:val="0"/>
          <w:sz w:val="20"/>
          <w:szCs w:val="20"/>
        </w:rPr>
        <w:t xml:space="preserve"> eDRX cycle as T in PF/PO determination.</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t xml:space="preserve">Proposal </w:t>
      </w:r>
      <w:r>
        <w:rPr>
          <w:rFonts w:eastAsia="宋体" w:hint="eastAsia"/>
          <w:b/>
          <w:bCs/>
          <w:kern w:val="0"/>
          <w:sz w:val="20"/>
          <w:szCs w:val="20"/>
        </w:rPr>
        <w:t>6</w:t>
      </w:r>
      <w:r>
        <w:rPr>
          <w:rFonts w:eastAsia="宋体"/>
          <w:b/>
          <w:bCs/>
          <w:kern w:val="0"/>
          <w:sz w:val="20"/>
          <w:szCs w:val="20"/>
        </w:rPr>
        <w:t>: In the case eDRX cycle for RRC idle is longer t</w:t>
      </w:r>
      <w:r>
        <w:rPr>
          <w:rFonts w:eastAsia="宋体"/>
          <w:b/>
          <w:bCs/>
          <w:kern w:val="0"/>
          <w:sz w:val="20"/>
          <w:szCs w:val="20"/>
        </w:rPr>
        <w:t xml:space="preserve">han 10.24s and eDRX cycle for RRC inactive is shorter than or equals to 10.24s, following rule is used: </w:t>
      </w:r>
    </w:p>
    <w:p w:rsidR="004B0CC0" w:rsidRDefault="00C113A2">
      <w:pPr>
        <w:widowControl/>
        <w:overflowPunct w:val="0"/>
        <w:autoSpaceDE w:val="0"/>
        <w:autoSpaceDN w:val="0"/>
        <w:adjustRightInd w:val="0"/>
        <w:spacing w:beforeLines="50" w:before="156" w:after="120" w:line="240" w:lineRule="auto"/>
        <w:ind w:leftChars="400" w:left="840" w:right="-96"/>
        <w:jc w:val="left"/>
        <w:textAlignment w:val="baseline"/>
        <w:rPr>
          <w:rFonts w:eastAsia="宋体"/>
          <w:b/>
          <w:bCs/>
          <w:kern w:val="0"/>
          <w:sz w:val="20"/>
          <w:szCs w:val="20"/>
        </w:rPr>
      </w:pPr>
      <w:r>
        <w:rPr>
          <w:rFonts w:eastAsia="宋体"/>
          <w:b/>
          <w:bCs/>
          <w:kern w:val="0"/>
          <w:sz w:val="20"/>
          <w:szCs w:val="20"/>
        </w:rPr>
        <w:t xml:space="preserve">- During the PTW according to eDRX for RRC idle, UE monitor paging based on the shortest of RAN paging cycle, the UE specific paging cycle if configured, and default paging cycle. </w:t>
      </w:r>
    </w:p>
    <w:p w:rsidR="004B0CC0" w:rsidRDefault="00C113A2">
      <w:pPr>
        <w:widowControl/>
        <w:overflowPunct w:val="0"/>
        <w:autoSpaceDE w:val="0"/>
        <w:autoSpaceDN w:val="0"/>
        <w:adjustRightInd w:val="0"/>
        <w:spacing w:beforeLines="50" w:before="156" w:after="120" w:line="240" w:lineRule="auto"/>
        <w:ind w:leftChars="400" w:left="840" w:right="-96"/>
        <w:jc w:val="left"/>
        <w:textAlignment w:val="baseline"/>
        <w:rPr>
          <w:rFonts w:eastAsia="宋体"/>
          <w:b/>
          <w:bCs/>
          <w:kern w:val="0"/>
          <w:sz w:val="20"/>
          <w:szCs w:val="20"/>
        </w:rPr>
      </w:pPr>
      <w:r>
        <w:rPr>
          <w:rFonts w:eastAsia="宋体"/>
          <w:b/>
          <w:bCs/>
          <w:kern w:val="0"/>
          <w:sz w:val="20"/>
          <w:szCs w:val="20"/>
        </w:rPr>
        <w:t>- Outside the PTW according to eDRX for RRC idle, UE monitor paging based o</w:t>
      </w:r>
      <w:r>
        <w:rPr>
          <w:rFonts w:eastAsia="宋体"/>
          <w:b/>
          <w:bCs/>
          <w:kern w:val="0"/>
          <w:sz w:val="20"/>
          <w:szCs w:val="20"/>
        </w:rPr>
        <w:t>n RAN paging cycle.</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t xml:space="preserve">Proposal </w:t>
      </w:r>
      <w:r>
        <w:rPr>
          <w:rFonts w:eastAsia="宋体" w:hint="eastAsia"/>
          <w:b/>
          <w:bCs/>
          <w:kern w:val="0"/>
          <w:sz w:val="20"/>
          <w:szCs w:val="20"/>
        </w:rPr>
        <w:t>7</w:t>
      </w:r>
      <w:r>
        <w:rPr>
          <w:rFonts w:eastAsia="宋体"/>
          <w:b/>
          <w:bCs/>
          <w:kern w:val="0"/>
          <w:sz w:val="20"/>
          <w:szCs w:val="20"/>
        </w:rPr>
        <w:t>: If eDRX cycle for RRC idle and RRC inactive are longer than 10.24s, UE applies following rule:</w:t>
      </w:r>
    </w:p>
    <w:p w:rsidR="004B0CC0" w:rsidRDefault="00C113A2">
      <w:pPr>
        <w:widowControl/>
        <w:overflowPunct w:val="0"/>
        <w:autoSpaceDE w:val="0"/>
        <w:autoSpaceDN w:val="0"/>
        <w:adjustRightInd w:val="0"/>
        <w:spacing w:beforeLines="50" w:before="156" w:after="120" w:line="240" w:lineRule="auto"/>
        <w:ind w:leftChars="400" w:left="840" w:right="-96"/>
        <w:jc w:val="left"/>
        <w:textAlignment w:val="baseline"/>
        <w:rPr>
          <w:rFonts w:eastAsia="宋体"/>
          <w:b/>
          <w:bCs/>
          <w:kern w:val="0"/>
          <w:sz w:val="20"/>
          <w:szCs w:val="20"/>
        </w:rPr>
      </w:pPr>
      <w:r>
        <w:rPr>
          <w:rFonts w:eastAsia="宋体"/>
          <w:b/>
          <w:bCs/>
          <w:kern w:val="0"/>
          <w:sz w:val="20"/>
          <w:szCs w:val="20"/>
        </w:rPr>
        <w:t>- During the common PTW, UE monitor paging based on the shortest of UE specific paging cycle, default paging cycle and RAN paging</w:t>
      </w:r>
      <w:r>
        <w:rPr>
          <w:rFonts w:eastAsia="宋体"/>
          <w:b/>
          <w:bCs/>
          <w:kern w:val="0"/>
          <w:sz w:val="20"/>
          <w:szCs w:val="20"/>
        </w:rPr>
        <w:t xml:space="preserve"> cycle.</w:t>
      </w:r>
    </w:p>
    <w:p w:rsidR="004B0CC0" w:rsidRDefault="00C113A2">
      <w:pPr>
        <w:widowControl/>
        <w:overflowPunct w:val="0"/>
        <w:autoSpaceDE w:val="0"/>
        <w:autoSpaceDN w:val="0"/>
        <w:adjustRightInd w:val="0"/>
        <w:spacing w:beforeLines="50" w:before="156" w:after="120" w:line="240" w:lineRule="auto"/>
        <w:ind w:leftChars="400" w:left="840" w:right="-96"/>
        <w:jc w:val="left"/>
        <w:textAlignment w:val="baseline"/>
        <w:rPr>
          <w:rFonts w:eastAsia="宋体"/>
          <w:b/>
          <w:bCs/>
          <w:kern w:val="0"/>
          <w:sz w:val="20"/>
          <w:szCs w:val="20"/>
        </w:rPr>
      </w:pPr>
      <w:r>
        <w:rPr>
          <w:rFonts w:eastAsia="宋体"/>
          <w:b/>
          <w:bCs/>
          <w:kern w:val="0"/>
          <w:sz w:val="20"/>
          <w:szCs w:val="20"/>
        </w:rPr>
        <w:t>- During PTW for RRC inactive only, UE monitor paging based on RAN paging cycle.</w:t>
      </w:r>
    </w:p>
    <w:p w:rsidR="004B0CC0" w:rsidRDefault="00C113A2">
      <w:pPr>
        <w:widowControl/>
        <w:tabs>
          <w:tab w:val="left" w:pos="840"/>
        </w:tabs>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t xml:space="preserve">Proposal </w:t>
      </w:r>
      <w:r>
        <w:rPr>
          <w:rFonts w:eastAsia="宋体" w:hint="eastAsia"/>
          <w:b/>
          <w:bCs/>
          <w:kern w:val="0"/>
          <w:sz w:val="20"/>
          <w:szCs w:val="20"/>
        </w:rPr>
        <w:t>8</w:t>
      </w:r>
      <w:r>
        <w:rPr>
          <w:rFonts w:eastAsia="宋体"/>
          <w:b/>
          <w:bCs/>
          <w:kern w:val="0"/>
          <w:sz w:val="20"/>
          <w:szCs w:val="20"/>
        </w:rPr>
        <w:t xml:space="preserve">: To introduce eDRX UE specific SI change indicator in NR paging message/short message. Upon receiving this indicator, UE operating in eDRX acquires updated </w:t>
      </w:r>
      <w:r>
        <w:rPr>
          <w:rFonts w:eastAsia="宋体"/>
          <w:b/>
          <w:bCs/>
          <w:kern w:val="0"/>
          <w:sz w:val="20"/>
          <w:szCs w:val="20"/>
        </w:rPr>
        <w:t>system information at the beginning of next eDRX acquisition period.</w:t>
      </w:r>
    </w:p>
    <w:p w:rsidR="004B0CC0" w:rsidRDefault="00C113A2">
      <w:pPr>
        <w:widowControl/>
        <w:tabs>
          <w:tab w:val="left" w:pos="840"/>
        </w:tabs>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t xml:space="preserve">Proposal </w:t>
      </w:r>
      <w:r>
        <w:rPr>
          <w:rFonts w:eastAsia="宋体" w:hint="eastAsia"/>
          <w:b/>
          <w:bCs/>
          <w:kern w:val="0"/>
          <w:sz w:val="20"/>
          <w:szCs w:val="20"/>
        </w:rPr>
        <w:t>9</w:t>
      </w:r>
      <w:r>
        <w:rPr>
          <w:rFonts w:eastAsia="宋体"/>
          <w:b/>
          <w:bCs/>
          <w:kern w:val="0"/>
          <w:sz w:val="20"/>
          <w:szCs w:val="20"/>
        </w:rPr>
        <w:t>: UE operating in eDRX validate its stored SI before initiate RRC setup or RRC resume.</w:t>
      </w:r>
    </w:p>
    <w:p w:rsidR="00AC3F0C" w:rsidRDefault="00AC3F0C" w:rsidP="00AC3F0C">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t>Proposal 1</w:t>
      </w:r>
      <w:r>
        <w:rPr>
          <w:rFonts w:eastAsia="宋体" w:hint="eastAsia"/>
          <w:b/>
          <w:bCs/>
          <w:kern w:val="0"/>
          <w:sz w:val="20"/>
          <w:szCs w:val="20"/>
        </w:rPr>
        <w:t>0</w:t>
      </w:r>
      <w:r>
        <w:rPr>
          <w:rFonts w:eastAsia="宋体"/>
          <w:b/>
          <w:bCs/>
          <w:kern w:val="0"/>
          <w:sz w:val="20"/>
          <w:szCs w:val="20"/>
        </w:rPr>
        <w:t>: CN decides eDRX configuration for RRC inactive. CN transmits eDRX configuration for RRC inactive to gNB via initial UE context setup and UE context modification procedures.</w:t>
      </w:r>
    </w:p>
    <w:p w:rsidR="004B0CC0" w:rsidRDefault="00C113A2">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b/>
          <w:bCs/>
          <w:kern w:val="0"/>
          <w:sz w:val="20"/>
          <w:szCs w:val="20"/>
        </w:rPr>
        <w:t>Proposal 1</w:t>
      </w:r>
      <w:r>
        <w:rPr>
          <w:rFonts w:eastAsia="宋体" w:hint="eastAsia"/>
          <w:b/>
          <w:bCs/>
          <w:kern w:val="0"/>
          <w:sz w:val="20"/>
          <w:szCs w:val="20"/>
        </w:rPr>
        <w:t>1</w:t>
      </w:r>
      <w:r>
        <w:rPr>
          <w:rFonts w:eastAsia="宋体"/>
          <w:b/>
          <w:bCs/>
          <w:kern w:val="0"/>
          <w:sz w:val="20"/>
          <w:szCs w:val="20"/>
        </w:rPr>
        <w:t>: RAN2 to discuss how to signal eDRX for RRC inactive to UE:</w:t>
      </w:r>
    </w:p>
    <w:p w:rsidR="004B0CC0" w:rsidRDefault="00C113A2">
      <w:pPr>
        <w:widowControl/>
        <w:overflowPunct w:val="0"/>
        <w:autoSpaceDE w:val="0"/>
        <w:autoSpaceDN w:val="0"/>
        <w:adjustRightInd w:val="0"/>
        <w:spacing w:beforeLines="50" w:before="156" w:after="120" w:line="240" w:lineRule="auto"/>
        <w:ind w:leftChars="500" w:left="1050" w:right="-96"/>
        <w:jc w:val="left"/>
        <w:textAlignment w:val="baseline"/>
        <w:rPr>
          <w:rFonts w:eastAsia="宋体"/>
          <w:b/>
          <w:bCs/>
          <w:kern w:val="0"/>
          <w:sz w:val="20"/>
          <w:szCs w:val="20"/>
        </w:rPr>
      </w:pPr>
      <w:r>
        <w:rPr>
          <w:rFonts w:eastAsia="宋体"/>
          <w:b/>
          <w:bCs/>
          <w:kern w:val="0"/>
          <w:sz w:val="20"/>
          <w:szCs w:val="20"/>
        </w:rPr>
        <w:t>Option 1: via RRC release message.</w:t>
      </w:r>
    </w:p>
    <w:p w:rsidR="004B0CC0" w:rsidRDefault="00C113A2">
      <w:pPr>
        <w:widowControl/>
        <w:overflowPunct w:val="0"/>
        <w:autoSpaceDE w:val="0"/>
        <w:autoSpaceDN w:val="0"/>
        <w:adjustRightInd w:val="0"/>
        <w:spacing w:beforeLines="50" w:before="156" w:after="120" w:line="240" w:lineRule="auto"/>
        <w:ind w:leftChars="500" w:left="1050" w:right="-96"/>
        <w:jc w:val="left"/>
        <w:textAlignment w:val="baseline"/>
        <w:rPr>
          <w:rFonts w:eastAsia="宋体"/>
          <w:b/>
          <w:bCs/>
          <w:kern w:val="0"/>
          <w:sz w:val="20"/>
          <w:szCs w:val="20"/>
        </w:rPr>
      </w:pPr>
      <w:r>
        <w:rPr>
          <w:rFonts w:eastAsia="宋体"/>
          <w:b/>
          <w:bCs/>
          <w:kern w:val="0"/>
          <w:sz w:val="20"/>
          <w:szCs w:val="20"/>
        </w:rPr>
        <w:t>Option 2: via NAS procedure.</w:t>
      </w:r>
    </w:p>
    <w:p w:rsidR="004B0CC0" w:rsidRDefault="00C113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Reference</w:t>
      </w:r>
    </w:p>
    <w:p w:rsidR="004B0CC0" w:rsidRDefault="00C113A2">
      <w:pPr>
        <w:pStyle w:val="References"/>
        <w:numPr>
          <w:ilvl w:val="0"/>
          <w:numId w:val="5"/>
        </w:numPr>
        <w:spacing w:beforeLines="0" w:before="0" w:afterLines="0" w:after="120" w:line="240" w:lineRule="auto"/>
        <w:rPr>
          <w:sz w:val="22"/>
          <w:szCs w:val="22"/>
          <w:lang w:eastAsia="ja-JP"/>
        </w:rPr>
      </w:pPr>
      <w:r>
        <w:rPr>
          <w:rFonts w:hint="eastAsia"/>
          <w:sz w:val="22"/>
          <w:szCs w:val="22"/>
        </w:rPr>
        <w:t>RAN2#11</w:t>
      </w:r>
      <w:r>
        <w:rPr>
          <w:rFonts w:hint="eastAsia"/>
          <w:sz w:val="22"/>
          <w:szCs w:val="22"/>
        </w:rPr>
        <w:t>3</w:t>
      </w:r>
      <w:r>
        <w:rPr>
          <w:rFonts w:hint="eastAsia"/>
          <w:sz w:val="22"/>
          <w:szCs w:val="22"/>
        </w:rPr>
        <w:t>e chairman notes</w:t>
      </w:r>
    </w:p>
    <w:p w:rsidR="004B0CC0" w:rsidRDefault="00C113A2">
      <w:pPr>
        <w:pStyle w:val="References"/>
        <w:numPr>
          <w:ilvl w:val="0"/>
          <w:numId w:val="5"/>
        </w:numPr>
        <w:spacing w:beforeLines="0" w:before="0" w:afterLines="0" w:after="120" w:line="240" w:lineRule="auto"/>
        <w:rPr>
          <w:sz w:val="22"/>
          <w:szCs w:val="22"/>
          <w:lang w:eastAsia="ja-JP"/>
        </w:rPr>
      </w:pPr>
      <w:r>
        <w:rPr>
          <w:rFonts w:hint="eastAsia"/>
          <w:sz w:val="22"/>
          <w:szCs w:val="22"/>
          <w:lang w:eastAsia="ja-JP"/>
        </w:rPr>
        <w:t>3GPP, TR 38.875, v1.0.</w:t>
      </w:r>
    </w:p>
    <w:p w:rsidR="004B0CC0" w:rsidRDefault="00C113A2">
      <w:pPr>
        <w:pStyle w:val="References"/>
        <w:numPr>
          <w:ilvl w:val="0"/>
          <w:numId w:val="5"/>
        </w:numPr>
        <w:spacing w:beforeLines="0" w:before="0" w:afterLines="0" w:after="120" w:line="240" w:lineRule="auto"/>
      </w:pPr>
      <w:r>
        <w:rPr>
          <w:rFonts w:hint="eastAsia"/>
          <w:sz w:val="22"/>
          <w:szCs w:val="22"/>
          <w:lang w:eastAsia="ja-JP"/>
        </w:rPr>
        <w:t>RP-210918</w:t>
      </w:r>
    </w:p>
    <w:sectPr w:rsidR="004B0CC0">
      <w:headerReference w:type="even" r:id="rId11"/>
      <w:headerReference w:type="default" r:id="rId12"/>
      <w:footerReference w:type="even" r:id="rId13"/>
      <w:footerReference w:type="default" r:id="rId14"/>
      <w:headerReference w:type="first" r:id="rId15"/>
      <w:footerReference w:type="first" r:id="rId16"/>
      <w:pgSz w:w="11906" w:h="16838"/>
      <w:pgMar w:top="1416" w:right="1134" w:bottom="1133"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3A2" w:rsidRDefault="00C113A2">
      <w:pPr>
        <w:spacing w:after="0" w:line="240" w:lineRule="auto"/>
      </w:pPr>
      <w:r>
        <w:separator/>
      </w:r>
    </w:p>
  </w:endnote>
  <w:endnote w:type="continuationSeparator" w:id="0">
    <w:p w:rsidR="00C113A2" w:rsidRDefault="00C11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676" w:rsidRDefault="00BC667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CC0" w:rsidRDefault="004B0CC0">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676" w:rsidRDefault="00BC667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3A2" w:rsidRDefault="00C113A2">
      <w:pPr>
        <w:spacing w:after="0" w:line="240" w:lineRule="auto"/>
      </w:pPr>
      <w:r>
        <w:separator/>
      </w:r>
    </w:p>
  </w:footnote>
  <w:footnote w:type="continuationSeparator" w:id="0">
    <w:p w:rsidR="00C113A2" w:rsidRDefault="00C113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676" w:rsidRDefault="00BC6676">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CC0" w:rsidRDefault="004B0CC0">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676" w:rsidRDefault="00BC667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8"/>
  <w:doNotDisplayPageBoundaries/>
  <w:defaultTabStop w:val="420"/>
  <w:hyphenationZone w:val="283"/>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0B0D"/>
    <w:rsid w:val="00030DDF"/>
    <w:rsid w:val="00035EF9"/>
    <w:rsid w:val="00037973"/>
    <w:rsid w:val="00040A63"/>
    <w:rsid w:val="0004105F"/>
    <w:rsid w:val="00042E6F"/>
    <w:rsid w:val="00043923"/>
    <w:rsid w:val="00043FCA"/>
    <w:rsid w:val="00045EDE"/>
    <w:rsid w:val="000464CE"/>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5E3C"/>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1274"/>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A6ED7"/>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D7599"/>
    <w:rsid w:val="001E0341"/>
    <w:rsid w:val="001E1C36"/>
    <w:rsid w:val="001E3D8C"/>
    <w:rsid w:val="001E43EF"/>
    <w:rsid w:val="001E44CD"/>
    <w:rsid w:val="001E6F40"/>
    <w:rsid w:val="001F31F0"/>
    <w:rsid w:val="001F3DF5"/>
    <w:rsid w:val="001F4346"/>
    <w:rsid w:val="001F6DA4"/>
    <w:rsid w:val="00201CDE"/>
    <w:rsid w:val="00201FFE"/>
    <w:rsid w:val="00202C4B"/>
    <w:rsid w:val="00203502"/>
    <w:rsid w:val="00203B88"/>
    <w:rsid w:val="002052A2"/>
    <w:rsid w:val="00206380"/>
    <w:rsid w:val="002155FA"/>
    <w:rsid w:val="002176DE"/>
    <w:rsid w:val="0022336A"/>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A5C4A"/>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3A77"/>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0CC0"/>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1B80"/>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910DD"/>
    <w:rsid w:val="005940C1"/>
    <w:rsid w:val="005952F9"/>
    <w:rsid w:val="0059566C"/>
    <w:rsid w:val="0059585E"/>
    <w:rsid w:val="005A3156"/>
    <w:rsid w:val="005A53DF"/>
    <w:rsid w:val="005A6185"/>
    <w:rsid w:val="005B052E"/>
    <w:rsid w:val="005B220B"/>
    <w:rsid w:val="005B2690"/>
    <w:rsid w:val="005B2E19"/>
    <w:rsid w:val="005B66D2"/>
    <w:rsid w:val="005B7842"/>
    <w:rsid w:val="005B7AC2"/>
    <w:rsid w:val="005C079B"/>
    <w:rsid w:val="005C1AC7"/>
    <w:rsid w:val="005C20A4"/>
    <w:rsid w:val="005C2356"/>
    <w:rsid w:val="005C2BE2"/>
    <w:rsid w:val="005C4B1B"/>
    <w:rsid w:val="005D56D4"/>
    <w:rsid w:val="005D57F1"/>
    <w:rsid w:val="005D6355"/>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686A"/>
    <w:rsid w:val="00607A61"/>
    <w:rsid w:val="00611F78"/>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539D"/>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46957"/>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5C6"/>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0CC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AB1"/>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84D"/>
    <w:rsid w:val="00922A9F"/>
    <w:rsid w:val="00925478"/>
    <w:rsid w:val="00925A8F"/>
    <w:rsid w:val="00925D8E"/>
    <w:rsid w:val="009269F5"/>
    <w:rsid w:val="0093050A"/>
    <w:rsid w:val="00930CAD"/>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7BA7"/>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1B15"/>
    <w:rsid w:val="009D2A16"/>
    <w:rsid w:val="009D6952"/>
    <w:rsid w:val="009D704E"/>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3F0C"/>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26E5"/>
    <w:rsid w:val="00BB3ABA"/>
    <w:rsid w:val="00BB4FEC"/>
    <w:rsid w:val="00BB65B1"/>
    <w:rsid w:val="00BB69D5"/>
    <w:rsid w:val="00BC03E1"/>
    <w:rsid w:val="00BC0A99"/>
    <w:rsid w:val="00BC4231"/>
    <w:rsid w:val="00BC4593"/>
    <w:rsid w:val="00BC6676"/>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3A2"/>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2434"/>
    <w:rsid w:val="00C63153"/>
    <w:rsid w:val="00C63CB8"/>
    <w:rsid w:val="00C65327"/>
    <w:rsid w:val="00C65768"/>
    <w:rsid w:val="00C67235"/>
    <w:rsid w:val="00C67382"/>
    <w:rsid w:val="00C70488"/>
    <w:rsid w:val="00C72471"/>
    <w:rsid w:val="00C72B4C"/>
    <w:rsid w:val="00C806B7"/>
    <w:rsid w:val="00C8086B"/>
    <w:rsid w:val="00C82D97"/>
    <w:rsid w:val="00C84D14"/>
    <w:rsid w:val="00C8731F"/>
    <w:rsid w:val="00C91C45"/>
    <w:rsid w:val="00C9369C"/>
    <w:rsid w:val="00C93EDD"/>
    <w:rsid w:val="00C953EF"/>
    <w:rsid w:val="00C953F6"/>
    <w:rsid w:val="00C97FD3"/>
    <w:rsid w:val="00CA0363"/>
    <w:rsid w:val="00CA06A4"/>
    <w:rsid w:val="00CA45BD"/>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02DD"/>
    <w:rsid w:val="00DE084C"/>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56C70"/>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9737A"/>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D7FC5"/>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12A2"/>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0FF4B12"/>
    <w:rsid w:val="01096442"/>
    <w:rsid w:val="01135C69"/>
    <w:rsid w:val="01161343"/>
    <w:rsid w:val="0119721B"/>
    <w:rsid w:val="01197935"/>
    <w:rsid w:val="011F7F9D"/>
    <w:rsid w:val="0125053D"/>
    <w:rsid w:val="01304D4E"/>
    <w:rsid w:val="01380404"/>
    <w:rsid w:val="013F3E46"/>
    <w:rsid w:val="014720D7"/>
    <w:rsid w:val="01485BB5"/>
    <w:rsid w:val="01530121"/>
    <w:rsid w:val="015E2565"/>
    <w:rsid w:val="015E3C40"/>
    <w:rsid w:val="016429DB"/>
    <w:rsid w:val="016D0390"/>
    <w:rsid w:val="016E3363"/>
    <w:rsid w:val="016F1A32"/>
    <w:rsid w:val="016F2ED3"/>
    <w:rsid w:val="01720BE7"/>
    <w:rsid w:val="01792F09"/>
    <w:rsid w:val="017A54C1"/>
    <w:rsid w:val="017B3921"/>
    <w:rsid w:val="017C0544"/>
    <w:rsid w:val="01801178"/>
    <w:rsid w:val="0180752F"/>
    <w:rsid w:val="01884E40"/>
    <w:rsid w:val="018B6A91"/>
    <w:rsid w:val="019676FB"/>
    <w:rsid w:val="019D5AF5"/>
    <w:rsid w:val="01A30E9F"/>
    <w:rsid w:val="01A84C09"/>
    <w:rsid w:val="01A97168"/>
    <w:rsid w:val="01AB7FE5"/>
    <w:rsid w:val="01AF01C6"/>
    <w:rsid w:val="01C07D9E"/>
    <w:rsid w:val="01C87131"/>
    <w:rsid w:val="01D10E16"/>
    <w:rsid w:val="01D65C80"/>
    <w:rsid w:val="01E561F2"/>
    <w:rsid w:val="01EA4673"/>
    <w:rsid w:val="01EC55BF"/>
    <w:rsid w:val="01F137C6"/>
    <w:rsid w:val="01FB2A54"/>
    <w:rsid w:val="020A372B"/>
    <w:rsid w:val="020A4DFB"/>
    <w:rsid w:val="020A645C"/>
    <w:rsid w:val="020D4033"/>
    <w:rsid w:val="02107794"/>
    <w:rsid w:val="021251A1"/>
    <w:rsid w:val="022243BF"/>
    <w:rsid w:val="023657C5"/>
    <w:rsid w:val="02425807"/>
    <w:rsid w:val="024D13D0"/>
    <w:rsid w:val="024E797F"/>
    <w:rsid w:val="02523310"/>
    <w:rsid w:val="02550ACE"/>
    <w:rsid w:val="025A3625"/>
    <w:rsid w:val="025B152B"/>
    <w:rsid w:val="025E5BBA"/>
    <w:rsid w:val="02620859"/>
    <w:rsid w:val="02662787"/>
    <w:rsid w:val="026D73E1"/>
    <w:rsid w:val="0272361E"/>
    <w:rsid w:val="027827B7"/>
    <w:rsid w:val="028A3B7A"/>
    <w:rsid w:val="028B4562"/>
    <w:rsid w:val="028D4AE3"/>
    <w:rsid w:val="0294748A"/>
    <w:rsid w:val="029C267D"/>
    <w:rsid w:val="029F2443"/>
    <w:rsid w:val="02A656F4"/>
    <w:rsid w:val="02AD4E04"/>
    <w:rsid w:val="02AF16DF"/>
    <w:rsid w:val="02C8388E"/>
    <w:rsid w:val="02CA1FD3"/>
    <w:rsid w:val="02CE62EC"/>
    <w:rsid w:val="02D329D4"/>
    <w:rsid w:val="02D8627A"/>
    <w:rsid w:val="02DA008E"/>
    <w:rsid w:val="02E010C8"/>
    <w:rsid w:val="02F04017"/>
    <w:rsid w:val="02F818C1"/>
    <w:rsid w:val="02FA50E6"/>
    <w:rsid w:val="0306294B"/>
    <w:rsid w:val="03076A93"/>
    <w:rsid w:val="030856B5"/>
    <w:rsid w:val="03103EAA"/>
    <w:rsid w:val="032003F8"/>
    <w:rsid w:val="032038F0"/>
    <w:rsid w:val="03360720"/>
    <w:rsid w:val="033F2C99"/>
    <w:rsid w:val="03401215"/>
    <w:rsid w:val="03425BF0"/>
    <w:rsid w:val="034900E0"/>
    <w:rsid w:val="034E34A3"/>
    <w:rsid w:val="034F0E10"/>
    <w:rsid w:val="035B721B"/>
    <w:rsid w:val="03660A5E"/>
    <w:rsid w:val="036B1ABD"/>
    <w:rsid w:val="037316F8"/>
    <w:rsid w:val="037C305D"/>
    <w:rsid w:val="037D4E69"/>
    <w:rsid w:val="037E3D53"/>
    <w:rsid w:val="038D52E8"/>
    <w:rsid w:val="03914293"/>
    <w:rsid w:val="03A04F12"/>
    <w:rsid w:val="03A15A48"/>
    <w:rsid w:val="03A30FFE"/>
    <w:rsid w:val="03A8373A"/>
    <w:rsid w:val="03AA7096"/>
    <w:rsid w:val="03AD5DD2"/>
    <w:rsid w:val="03B754C1"/>
    <w:rsid w:val="03BA639A"/>
    <w:rsid w:val="03BB4535"/>
    <w:rsid w:val="03C36CDF"/>
    <w:rsid w:val="03CC0D26"/>
    <w:rsid w:val="03CC414F"/>
    <w:rsid w:val="03CD590F"/>
    <w:rsid w:val="03D03529"/>
    <w:rsid w:val="03D60D53"/>
    <w:rsid w:val="03DD4C8D"/>
    <w:rsid w:val="03DE1398"/>
    <w:rsid w:val="03E45251"/>
    <w:rsid w:val="03EF7BA5"/>
    <w:rsid w:val="03F41686"/>
    <w:rsid w:val="04043AF0"/>
    <w:rsid w:val="040B192B"/>
    <w:rsid w:val="041503CF"/>
    <w:rsid w:val="041E3390"/>
    <w:rsid w:val="041F656B"/>
    <w:rsid w:val="04227526"/>
    <w:rsid w:val="0428342F"/>
    <w:rsid w:val="04287C4B"/>
    <w:rsid w:val="042D72B2"/>
    <w:rsid w:val="043106BD"/>
    <w:rsid w:val="04360F4C"/>
    <w:rsid w:val="04484436"/>
    <w:rsid w:val="044A4632"/>
    <w:rsid w:val="04540536"/>
    <w:rsid w:val="04613FEC"/>
    <w:rsid w:val="047920A4"/>
    <w:rsid w:val="04793CE8"/>
    <w:rsid w:val="0479458D"/>
    <w:rsid w:val="047D5075"/>
    <w:rsid w:val="047E7472"/>
    <w:rsid w:val="048D382F"/>
    <w:rsid w:val="04910D7C"/>
    <w:rsid w:val="049473D5"/>
    <w:rsid w:val="049E13F3"/>
    <w:rsid w:val="04AA2BD4"/>
    <w:rsid w:val="04AB7A37"/>
    <w:rsid w:val="04B40092"/>
    <w:rsid w:val="04BC1023"/>
    <w:rsid w:val="04BD0D3B"/>
    <w:rsid w:val="04C068F1"/>
    <w:rsid w:val="04C10AF3"/>
    <w:rsid w:val="04CA76F0"/>
    <w:rsid w:val="04D4617B"/>
    <w:rsid w:val="04D96073"/>
    <w:rsid w:val="04DC0590"/>
    <w:rsid w:val="04E608F9"/>
    <w:rsid w:val="04E947B4"/>
    <w:rsid w:val="04F07ADF"/>
    <w:rsid w:val="050A13BC"/>
    <w:rsid w:val="05143D40"/>
    <w:rsid w:val="051A2788"/>
    <w:rsid w:val="051B25C3"/>
    <w:rsid w:val="051C0C99"/>
    <w:rsid w:val="052331E1"/>
    <w:rsid w:val="053A3B2F"/>
    <w:rsid w:val="054535C4"/>
    <w:rsid w:val="054D2766"/>
    <w:rsid w:val="05567CE3"/>
    <w:rsid w:val="055D4F0A"/>
    <w:rsid w:val="057605B0"/>
    <w:rsid w:val="057C0BDA"/>
    <w:rsid w:val="057E44E3"/>
    <w:rsid w:val="057F2F0B"/>
    <w:rsid w:val="058B0B55"/>
    <w:rsid w:val="058E0AD9"/>
    <w:rsid w:val="05940110"/>
    <w:rsid w:val="05947283"/>
    <w:rsid w:val="05991ABC"/>
    <w:rsid w:val="05B20448"/>
    <w:rsid w:val="05B409FC"/>
    <w:rsid w:val="05B52126"/>
    <w:rsid w:val="05B61AC5"/>
    <w:rsid w:val="05BB2C6F"/>
    <w:rsid w:val="05BC1280"/>
    <w:rsid w:val="05C14BE8"/>
    <w:rsid w:val="05C45A63"/>
    <w:rsid w:val="05CA5C14"/>
    <w:rsid w:val="05CE1556"/>
    <w:rsid w:val="05CF7F1A"/>
    <w:rsid w:val="05E37EEE"/>
    <w:rsid w:val="05E64CC6"/>
    <w:rsid w:val="05EF07C9"/>
    <w:rsid w:val="06015A3C"/>
    <w:rsid w:val="06027EF5"/>
    <w:rsid w:val="060C0CA5"/>
    <w:rsid w:val="06110B74"/>
    <w:rsid w:val="061A315C"/>
    <w:rsid w:val="061B3FAC"/>
    <w:rsid w:val="06252B22"/>
    <w:rsid w:val="062B32D5"/>
    <w:rsid w:val="062C4BFA"/>
    <w:rsid w:val="06372BA9"/>
    <w:rsid w:val="06384A71"/>
    <w:rsid w:val="063D613E"/>
    <w:rsid w:val="06480453"/>
    <w:rsid w:val="064B0AD7"/>
    <w:rsid w:val="065A05CC"/>
    <w:rsid w:val="065B0926"/>
    <w:rsid w:val="06626B68"/>
    <w:rsid w:val="06657C94"/>
    <w:rsid w:val="06694E5F"/>
    <w:rsid w:val="066970EA"/>
    <w:rsid w:val="066E7A32"/>
    <w:rsid w:val="067361BA"/>
    <w:rsid w:val="06824FEB"/>
    <w:rsid w:val="068D0E30"/>
    <w:rsid w:val="068E167D"/>
    <w:rsid w:val="06903011"/>
    <w:rsid w:val="06945A2E"/>
    <w:rsid w:val="06955E83"/>
    <w:rsid w:val="069806F0"/>
    <w:rsid w:val="06AB2C5D"/>
    <w:rsid w:val="06AC249B"/>
    <w:rsid w:val="06BB0DCA"/>
    <w:rsid w:val="06BF01A7"/>
    <w:rsid w:val="06C71444"/>
    <w:rsid w:val="06CA6914"/>
    <w:rsid w:val="06D3751D"/>
    <w:rsid w:val="06D64C97"/>
    <w:rsid w:val="06D9595F"/>
    <w:rsid w:val="06DF2639"/>
    <w:rsid w:val="06E8262C"/>
    <w:rsid w:val="06F02FDF"/>
    <w:rsid w:val="070133B2"/>
    <w:rsid w:val="07060253"/>
    <w:rsid w:val="070644F8"/>
    <w:rsid w:val="07080636"/>
    <w:rsid w:val="07080D1B"/>
    <w:rsid w:val="070A2F07"/>
    <w:rsid w:val="070F7F00"/>
    <w:rsid w:val="07185550"/>
    <w:rsid w:val="071B7226"/>
    <w:rsid w:val="07283DE5"/>
    <w:rsid w:val="072940EF"/>
    <w:rsid w:val="074620B0"/>
    <w:rsid w:val="07477450"/>
    <w:rsid w:val="074D24C6"/>
    <w:rsid w:val="07507AAC"/>
    <w:rsid w:val="07510138"/>
    <w:rsid w:val="075626E1"/>
    <w:rsid w:val="076E4ECD"/>
    <w:rsid w:val="077450CC"/>
    <w:rsid w:val="078808A5"/>
    <w:rsid w:val="07883E72"/>
    <w:rsid w:val="078E330A"/>
    <w:rsid w:val="07961E1E"/>
    <w:rsid w:val="07994594"/>
    <w:rsid w:val="07A05146"/>
    <w:rsid w:val="07AA222B"/>
    <w:rsid w:val="07AA5C4F"/>
    <w:rsid w:val="07B077B2"/>
    <w:rsid w:val="07B5421C"/>
    <w:rsid w:val="07CA2462"/>
    <w:rsid w:val="07D76797"/>
    <w:rsid w:val="07D77608"/>
    <w:rsid w:val="07D81AAE"/>
    <w:rsid w:val="07D90597"/>
    <w:rsid w:val="07DB1F23"/>
    <w:rsid w:val="07DF2FDB"/>
    <w:rsid w:val="07E30430"/>
    <w:rsid w:val="07EB35D1"/>
    <w:rsid w:val="07FD6D5F"/>
    <w:rsid w:val="07FF6BD0"/>
    <w:rsid w:val="081629F0"/>
    <w:rsid w:val="081969BF"/>
    <w:rsid w:val="081C616D"/>
    <w:rsid w:val="082323C7"/>
    <w:rsid w:val="082E44D1"/>
    <w:rsid w:val="08322FA7"/>
    <w:rsid w:val="08394D46"/>
    <w:rsid w:val="084131EB"/>
    <w:rsid w:val="084F6CD5"/>
    <w:rsid w:val="08533175"/>
    <w:rsid w:val="08540482"/>
    <w:rsid w:val="08545F8C"/>
    <w:rsid w:val="08572205"/>
    <w:rsid w:val="085D6DCD"/>
    <w:rsid w:val="08616B5C"/>
    <w:rsid w:val="087059C4"/>
    <w:rsid w:val="087E10BE"/>
    <w:rsid w:val="08804573"/>
    <w:rsid w:val="08822ECE"/>
    <w:rsid w:val="088B6E79"/>
    <w:rsid w:val="089308D9"/>
    <w:rsid w:val="08A72BF5"/>
    <w:rsid w:val="08AE1D52"/>
    <w:rsid w:val="08AF3B97"/>
    <w:rsid w:val="08B22098"/>
    <w:rsid w:val="08B458AB"/>
    <w:rsid w:val="08B61A68"/>
    <w:rsid w:val="08C11EEF"/>
    <w:rsid w:val="08CA6B4A"/>
    <w:rsid w:val="08CB435D"/>
    <w:rsid w:val="08CB4E1F"/>
    <w:rsid w:val="08CC405C"/>
    <w:rsid w:val="08D17DCB"/>
    <w:rsid w:val="08DB3329"/>
    <w:rsid w:val="08DD3AA4"/>
    <w:rsid w:val="08E06B05"/>
    <w:rsid w:val="08E101B3"/>
    <w:rsid w:val="08EA4F2E"/>
    <w:rsid w:val="08EB3F64"/>
    <w:rsid w:val="08EC1F8F"/>
    <w:rsid w:val="08EE5989"/>
    <w:rsid w:val="08F41A0D"/>
    <w:rsid w:val="09006697"/>
    <w:rsid w:val="09010EDD"/>
    <w:rsid w:val="09130881"/>
    <w:rsid w:val="091C1DE5"/>
    <w:rsid w:val="09251CFD"/>
    <w:rsid w:val="092A1C90"/>
    <w:rsid w:val="092A46B8"/>
    <w:rsid w:val="092B21BF"/>
    <w:rsid w:val="09397414"/>
    <w:rsid w:val="093A3225"/>
    <w:rsid w:val="093A750A"/>
    <w:rsid w:val="094659F8"/>
    <w:rsid w:val="094720D2"/>
    <w:rsid w:val="094B6487"/>
    <w:rsid w:val="09506A1B"/>
    <w:rsid w:val="095702D3"/>
    <w:rsid w:val="0957215C"/>
    <w:rsid w:val="095948E7"/>
    <w:rsid w:val="095A6F3C"/>
    <w:rsid w:val="09675DA2"/>
    <w:rsid w:val="09682998"/>
    <w:rsid w:val="096C0185"/>
    <w:rsid w:val="096E34B0"/>
    <w:rsid w:val="09716533"/>
    <w:rsid w:val="09730519"/>
    <w:rsid w:val="097F2303"/>
    <w:rsid w:val="09802F1E"/>
    <w:rsid w:val="0984773F"/>
    <w:rsid w:val="09953139"/>
    <w:rsid w:val="099A2FFA"/>
    <w:rsid w:val="09AD25DC"/>
    <w:rsid w:val="09AD4672"/>
    <w:rsid w:val="09AF3626"/>
    <w:rsid w:val="09BE22A3"/>
    <w:rsid w:val="09BE5AF5"/>
    <w:rsid w:val="09C02B44"/>
    <w:rsid w:val="09C635D4"/>
    <w:rsid w:val="09C85D67"/>
    <w:rsid w:val="09CF7D35"/>
    <w:rsid w:val="09D07554"/>
    <w:rsid w:val="09D4401A"/>
    <w:rsid w:val="09D6398F"/>
    <w:rsid w:val="09DD5183"/>
    <w:rsid w:val="09E0760B"/>
    <w:rsid w:val="09E30B75"/>
    <w:rsid w:val="09E347B4"/>
    <w:rsid w:val="09E702AB"/>
    <w:rsid w:val="09F113B9"/>
    <w:rsid w:val="09F15494"/>
    <w:rsid w:val="09F362DA"/>
    <w:rsid w:val="09F67490"/>
    <w:rsid w:val="09FB7DC3"/>
    <w:rsid w:val="0A047B3E"/>
    <w:rsid w:val="0A050ACA"/>
    <w:rsid w:val="0A126BF9"/>
    <w:rsid w:val="0A1C1966"/>
    <w:rsid w:val="0A2012F9"/>
    <w:rsid w:val="0A230EE1"/>
    <w:rsid w:val="0A32165A"/>
    <w:rsid w:val="0A365F2F"/>
    <w:rsid w:val="0A376299"/>
    <w:rsid w:val="0A39193C"/>
    <w:rsid w:val="0A4277FA"/>
    <w:rsid w:val="0A4D61FF"/>
    <w:rsid w:val="0A577FA5"/>
    <w:rsid w:val="0A5D4D29"/>
    <w:rsid w:val="0A623082"/>
    <w:rsid w:val="0A633236"/>
    <w:rsid w:val="0A663491"/>
    <w:rsid w:val="0A684FFB"/>
    <w:rsid w:val="0A751DE3"/>
    <w:rsid w:val="0A770163"/>
    <w:rsid w:val="0A831131"/>
    <w:rsid w:val="0A8C3CA9"/>
    <w:rsid w:val="0A9866B8"/>
    <w:rsid w:val="0AA227A6"/>
    <w:rsid w:val="0AA22F61"/>
    <w:rsid w:val="0AAD201C"/>
    <w:rsid w:val="0AB82155"/>
    <w:rsid w:val="0AB90F90"/>
    <w:rsid w:val="0ABC4D25"/>
    <w:rsid w:val="0ABD05FD"/>
    <w:rsid w:val="0AC107AB"/>
    <w:rsid w:val="0AD36590"/>
    <w:rsid w:val="0AD97A43"/>
    <w:rsid w:val="0AE2091B"/>
    <w:rsid w:val="0AE857C7"/>
    <w:rsid w:val="0AFA41DD"/>
    <w:rsid w:val="0AFF138C"/>
    <w:rsid w:val="0B132B49"/>
    <w:rsid w:val="0B1736D0"/>
    <w:rsid w:val="0B175F46"/>
    <w:rsid w:val="0B183D0B"/>
    <w:rsid w:val="0B193CD3"/>
    <w:rsid w:val="0B1F62A3"/>
    <w:rsid w:val="0B2725D9"/>
    <w:rsid w:val="0B2D130D"/>
    <w:rsid w:val="0B301306"/>
    <w:rsid w:val="0B413580"/>
    <w:rsid w:val="0B4B1A64"/>
    <w:rsid w:val="0B534E68"/>
    <w:rsid w:val="0B5A5645"/>
    <w:rsid w:val="0B5E0B66"/>
    <w:rsid w:val="0B60798A"/>
    <w:rsid w:val="0B631370"/>
    <w:rsid w:val="0B6E2B79"/>
    <w:rsid w:val="0B7A3A17"/>
    <w:rsid w:val="0B7E21AB"/>
    <w:rsid w:val="0B853A85"/>
    <w:rsid w:val="0B885890"/>
    <w:rsid w:val="0B8D0232"/>
    <w:rsid w:val="0B9161E5"/>
    <w:rsid w:val="0B986BDD"/>
    <w:rsid w:val="0BA3654E"/>
    <w:rsid w:val="0BA84778"/>
    <w:rsid w:val="0BA949B2"/>
    <w:rsid w:val="0BAD0D22"/>
    <w:rsid w:val="0BB32656"/>
    <w:rsid w:val="0BB41626"/>
    <w:rsid w:val="0BC127A3"/>
    <w:rsid w:val="0BC64464"/>
    <w:rsid w:val="0BCD0527"/>
    <w:rsid w:val="0BD5373F"/>
    <w:rsid w:val="0BD73F2A"/>
    <w:rsid w:val="0BD90005"/>
    <w:rsid w:val="0BDA3ED2"/>
    <w:rsid w:val="0BDC4E4B"/>
    <w:rsid w:val="0BEF4B2B"/>
    <w:rsid w:val="0BF206B9"/>
    <w:rsid w:val="0BF61F15"/>
    <w:rsid w:val="0BF73E59"/>
    <w:rsid w:val="0C0756BF"/>
    <w:rsid w:val="0C3937F5"/>
    <w:rsid w:val="0C414BBB"/>
    <w:rsid w:val="0C5068C5"/>
    <w:rsid w:val="0C561161"/>
    <w:rsid w:val="0C5838FE"/>
    <w:rsid w:val="0C6478F6"/>
    <w:rsid w:val="0C686012"/>
    <w:rsid w:val="0C6D5B55"/>
    <w:rsid w:val="0C717D85"/>
    <w:rsid w:val="0C746CCF"/>
    <w:rsid w:val="0C78761E"/>
    <w:rsid w:val="0C7E74F0"/>
    <w:rsid w:val="0C860DA0"/>
    <w:rsid w:val="0C8C452A"/>
    <w:rsid w:val="0C8C4BAA"/>
    <w:rsid w:val="0C8C6D73"/>
    <w:rsid w:val="0C8D5B06"/>
    <w:rsid w:val="0C8E7441"/>
    <w:rsid w:val="0C9357A8"/>
    <w:rsid w:val="0C98504D"/>
    <w:rsid w:val="0C985D89"/>
    <w:rsid w:val="0C9B19FB"/>
    <w:rsid w:val="0C9F5653"/>
    <w:rsid w:val="0CA446F2"/>
    <w:rsid w:val="0CB44C57"/>
    <w:rsid w:val="0CB6590D"/>
    <w:rsid w:val="0CC2007A"/>
    <w:rsid w:val="0CC30220"/>
    <w:rsid w:val="0CC52B36"/>
    <w:rsid w:val="0CDB4889"/>
    <w:rsid w:val="0CE1552C"/>
    <w:rsid w:val="0CE214DE"/>
    <w:rsid w:val="0CF04D7C"/>
    <w:rsid w:val="0CF661FF"/>
    <w:rsid w:val="0CF94478"/>
    <w:rsid w:val="0D06325D"/>
    <w:rsid w:val="0D145149"/>
    <w:rsid w:val="0D1A27A3"/>
    <w:rsid w:val="0D1C7DE1"/>
    <w:rsid w:val="0D21609D"/>
    <w:rsid w:val="0D225A01"/>
    <w:rsid w:val="0D225F51"/>
    <w:rsid w:val="0D2462BF"/>
    <w:rsid w:val="0D296530"/>
    <w:rsid w:val="0D2C37EA"/>
    <w:rsid w:val="0D355C04"/>
    <w:rsid w:val="0D4440D7"/>
    <w:rsid w:val="0D455663"/>
    <w:rsid w:val="0D467DC5"/>
    <w:rsid w:val="0D4A4383"/>
    <w:rsid w:val="0D4F1A24"/>
    <w:rsid w:val="0D524370"/>
    <w:rsid w:val="0D5D33F2"/>
    <w:rsid w:val="0D5E71AC"/>
    <w:rsid w:val="0D6E0B06"/>
    <w:rsid w:val="0D712F9D"/>
    <w:rsid w:val="0D7E00DA"/>
    <w:rsid w:val="0D7F2E80"/>
    <w:rsid w:val="0D981D69"/>
    <w:rsid w:val="0D983E46"/>
    <w:rsid w:val="0D9D48DB"/>
    <w:rsid w:val="0D9E24B7"/>
    <w:rsid w:val="0D9F23BD"/>
    <w:rsid w:val="0DA106A6"/>
    <w:rsid w:val="0DA34B40"/>
    <w:rsid w:val="0DA51FE7"/>
    <w:rsid w:val="0DAC7851"/>
    <w:rsid w:val="0DAF3BB3"/>
    <w:rsid w:val="0DB04EE0"/>
    <w:rsid w:val="0DBC7659"/>
    <w:rsid w:val="0DCB64A1"/>
    <w:rsid w:val="0DCB6F6D"/>
    <w:rsid w:val="0DCF3416"/>
    <w:rsid w:val="0DDB69C3"/>
    <w:rsid w:val="0DDD498D"/>
    <w:rsid w:val="0DE149D6"/>
    <w:rsid w:val="0DE35839"/>
    <w:rsid w:val="0DF423F4"/>
    <w:rsid w:val="0DFB0203"/>
    <w:rsid w:val="0E00725C"/>
    <w:rsid w:val="0E007CCB"/>
    <w:rsid w:val="0E0346AA"/>
    <w:rsid w:val="0E066344"/>
    <w:rsid w:val="0E090268"/>
    <w:rsid w:val="0E096D38"/>
    <w:rsid w:val="0E0A382E"/>
    <w:rsid w:val="0E0E59EE"/>
    <w:rsid w:val="0E190650"/>
    <w:rsid w:val="0E1E5186"/>
    <w:rsid w:val="0E2855F1"/>
    <w:rsid w:val="0E2C672D"/>
    <w:rsid w:val="0E322893"/>
    <w:rsid w:val="0E362A7B"/>
    <w:rsid w:val="0E3F3320"/>
    <w:rsid w:val="0E4530F1"/>
    <w:rsid w:val="0E4D658E"/>
    <w:rsid w:val="0E5943BF"/>
    <w:rsid w:val="0E5A0380"/>
    <w:rsid w:val="0E5D01EC"/>
    <w:rsid w:val="0E674054"/>
    <w:rsid w:val="0E677721"/>
    <w:rsid w:val="0E6D772A"/>
    <w:rsid w:val="0E6E039F"/>
    <w:rsid w:val="0E6E1AF1"/>
    <w:rsid w:val="0E741C25"/>
    <w:rsid w:val="0E861CFB"/>
    <w:rsid w:val="0E874083"/>
    <w:rsid w:val="0E8C6A6F"/>
    <w:rsid w:val="0E8D120F"/>
    <w:rsid w:val="0E8D3376"/>
    <w:rsid w:val="0E8E09A0"/>
    <w:rsid w:val="0E8E0EA3"/>
    <w:rsid w:val="0E9B0E1A"/>
    <w:rsid w:val="0EAF2AFA"/>
    <w:rsid w:val="0EB92550"/>
    <w:rsid w:val="0EBB1479"/>
    <w:rsid w:val="0ED03DE9"/>
    <w:rsid w:val="0ED45A6F"/>
    <w:rsid w:val="0EDB60D8"/>
    <w:rsid w:val="0EE73313"/>
    <w:rsid w:val="0EF22955"/>
    <w:rsid w:val="0EFA18F2"/>
    <w:rsid w:val="0EFD6A0C"/>
    <w:rsid w:val="0F005FC7"/>
    <w:rsid w:val="0F030129"/>
    <w:rsid w:val="0F0F6F85"/>
    <w:rsid w:val="0F1303D9"/>
    <w:rsid w:val="0F1B1B5D"/>
    <w:rsid w:val="0F1C5A04"/>
    <w:rsid w:val="0F253EE5"/>
    <w:rsid w:val="0F357090"/>
    <w:rsid w:val="0F374A83"/>
    <w:rsid w:val="0F3870C4"/>
    <w:rsid w:val="0F3A5007"/>
    <w:rsid w:val="0F466704"/>
    <w:rsid w:val="0F574105"/>
    <w:rsid w:val="0F5769DA"/>
    <w:rsid w:val="0F665D7B"/>
    <w:rsid w:val="0F6969F0"/>
    <w:rsid w:val="0F6A7450"/>
    <w:rsid w:val="0F6F597A"/>
    <w:rsid w:val="0F7962E8"/>
    <w:rsid w:val="0F895BCC"/>
    <w:rsid w:val="0F8A05DF"/>
    <w:rsid w:val="0F8A6571"/>
    <w:rsid w:val="0F8B57CA"/>
    <w:rsid w:val="0F924692"/>
    <w:rsid w:val="0F9646B7"/>
    <w:rsid w:val="0FA5050F"/>
    <w:rsid w:val="0FAC49C8"/>
    <w:rsid w:val="0FAF7CE0"/>
    <w:rsid w:val="0FB14F97"/>
    <w:rsid w:val="0FB24728"/>
    <w:rsid w:val="0FB94BC0"/>
    <w:rsid w:val="0FCA7E7B"/>
    <w:rsid w:val="0FD76755"/>
    <w:rsid w:val="0FD76FAA"/>
    <w:rsid w:val="0FE16236"/>
    <w:rsid w:val="0FE5349C"/>
    <w:rsid w:val="0FE73AA0"/>
    <w:rsid w:val="0FE92CDE"/>
    <w:rsid w:val="0FEA03DA"/>
    <w:rsid w:val="0FEA41BD"/>
    <w:rsid w:val="0FEF41B7"/>
    <w:rsid w:val="0FF518FA"/>
    <w:rsid w:val="0FFF2771"/>
    <w:rsid w:val="1009154C"/>
    <w:rsid w:val="100E4434"/>
    <w:rsid w:val="10146D39"/>
    <w:rsid w:val="1022572B"/>
    <w:rsid w:val="103A31BB"/>
    <w:rsid w:val="10446EAD"/>
    <w:rsid w:val="104A2F40"/>
    <w:rsid w:val="104D5A3C"/>
    <w:rsid w:val="10541A8A"/>
    <w:rsid w:val="105A5EB5"/>
    <w:rsid w:val="106969D9"/>
    <w:rsid w:val="10771480"/>
    <w:rsid w:val="107F3803"/>
    <w:rsid w:val="10810A46"/>
    <w:rsid w:val="108272E9"/>
    <w:rsid w:val="108351AE"/>
    <w:rsid w:val="108972B7"/>
    <w:rsid w:val="10984953"/>
    <w:rsid w:val="10992D20"/>
    <w:rsid w:val="10A4002B"/>
    <w:rsid w:val="10A665FC"/>
    <w:rsid w:val="10AE6562"/>
    <w:rsid w:val="10B5170D"/>
    <w:rsid w:val="10BE5190"/>
    <w:rsid w:val="10C0668A"/>
    <w:rsid w:val="10C640D7"/>
    <w:rsid w:val="10D945B4"/>
    <w:rsid w:val="10DC4226"/>
    <w:rsid w:val="10EA3B9B"/>
    <w:rsid w:val="10F076E8"/>
    <w:rsid w:val="10FD5581"/>
    <w:rsid w:val="110165A2"/>
    <w:rsid w:val="11062174"/>
    <w:rsid w:val="110872DC"/>
    <w:rsid w:val="11137A9F"/>
    <w:rsid w:val="111C05BF"/>
    <w:rsid w:val="11216F8F"/>
    <w:rsid w:val="11220330"/>
    <w:rsid w:val="11305185"/>
    <w:rsid w:val="113A020E"/>
    <w:rsid w:val="11447462"/>
    <w:rsid w:val="114539BF"/>
    <w:rsid w:val="114579CF"/>
    <w:rsid w:val="114E1D2D"/>
    <w:rsid w:val="114F20D2"/>
    <w:rsid w:val="11516273"/>
    <w:rsid w:val="115C2814"/>
    <w:rsid w:val="11630A80"/>
    <w:rsid w:val="116D7D1F"/>
    <w:rsid w:val="116E72FC"/>
    <w:rsid w:val="116F4829"/>
    <w:rsid w:val="116F6A19"/>
    <w:rsid w:val="11704763"/>
    <w:rsid w:val="11772542"/>
    <w:rsid w:val="117A5DA5"/>
    <w:rsid w:val="118B46BF"/>
    <w:rsid w:val="11907D6A"/>
    <w:rsid w:val="11933EAE"/>
    <w:rsid w:val="11955F3B"/>
    <w:rsid w:val="11970F4F"/>
    <w:rsid w:val="119C42FB"/>
    <w:rsid w:val="11A16C8D"/>
    <w:rsid w:val="11A95120"/>
    <w:rsid w:val="11B175CB"/>
    <w:rsid w:val="11B9594A"/>
    <w:rsid w:val="11C40AF2"/>
    <w:rsid w:val="11C63544"/>
    <w:rsid w:val="11C66AB4"/>
    <w:rsid w:val="11CE6CC4"/>
    <w:rsid w:val="11D95D2F"/>
    <w:rsid w:val="11DC29E2"/>
    <w:rsid w:val="11E1445B"/>
    <w:rsid w:val="11F3435D"/>
    <w:rsid w:val="11FC1FFC"/>
    <w:rsid w:val="1205772F"/>
    <w:rsid w:val="12146212"/>
    <w:rsid w:val="12164691"/>
    <w:rsid w:val="121B7D8C"/>
    <w:rsid w:val="121D0D6F"/>
    <w:rsid w:val="12271D82"/>
    <w:rsid w:val="122C3A07"/>
    <w:rsid w:val="122E46A4"/>
    <w:rsid w:val="12352D67"/>
    <w:rsid w:val="12382167"/>
    <w:rsid w:val="124006D9"/>
    <w:rsid w:val="1240097B"/>
    <w:rsid w:val="124A7AC8"/>
    <w:rsid w:val="124C6302"/>
    <w:rsid w:val="124D531E"/>
    <w:rsid w:val="124F2F19"/>
    <w:rsid w:val="12606768"/>
    <w:rsid w:val="12624A95"/>
    <w:rsid w:val="1267441A"/>
    <w:rsid w:val="126B13C7"/>
    <w:rsid w:val="12714363"/>
    <w:rsid w:val="12717A64"/>
    <w:rsid w:val="12756458"/>
    <w:rsid w:val="12785D36"/>
    <w:rsid w:val="127974C9"/>
    <w:rsid w:val="127E23EF"/>
    <w:rsid w:val="12827F62"/>
    <w:rsid w:val="12846265"/>
    <w:rsid w:val="12A753BA"/>
    <w:rsid w:val="12A76F1E"/>
    <w:rsid w:val="12B3775C"/>
    <w:rsid w:val="12B406F1"/>
    <w:rsid w:val="12B65E85"/>
    <w:rsid w:val="12B73579"/>
    <w:rsid w:val="12B8590F"/>
    <w:rsid w:val="12C55D4F"/>
    <w:rsid w:val="12C57B41"/>
    <w:rsid w:val="12C9014D"/>
    <w:rsid w:val="12CD705E"/>
    <w:rsid w:val="12DE3A55"/>
    <w:rsid w:val="12E50DFA"/>
    <w:rsid w:val="12EF05A8"/>
    <w:rsid w:val="13013944"/>
    <w:rsid w:val="1304495D"/>
    <w:rsid w:val="13057DAF"/>
    <w:rsid w:val="13094A4F"/>
    <w:rsid w:val="130E27D5"/>
    <w:rsid w:val="130E4212"/>
    <w:rsid w:val="131941FF"/>
    <w:rsid w:val="131A609F"/>
    <w:rsid w:val="13294CAD"/>
    <w:rsid w:val="132E7823"/>
    <w:rsid w:val="133A0628"/>
    <w:rsid w:val="1348230E"/>
    <w:rsid w:val="1349715D"/>
    <w:rsid w:val="13526217"/>
    <w:rsid w:val="135641EB"/>
    <w:rsid w:val="13585CC0"/>
    <w:rsid w:val="13605A43"/>
    <w:rsid w:val="1360659B"/>
    <w:rsid w:val="13621162"/>
    <w:rsid w:val="136732AF"/>
    <w:rsid w:val="137B4A3F"/>
    <w:rsid w:val="138A0395"/>
    <w:rsid w:val="138C6BF0"/>
    <w:rsid w:val="13906103"/>
    <w:rsid w:val="139D08AD"/>
    <w:rsid w:val="13A20F21"/>
    <w:rsid w:val="13A97E7F"/>
    <w:rsid w:val="13AC5383"/>
    <w:rsid w:val="13B323FC"/>
    <w:rsid w:val="13B52CAB"/>
    <w:rsid w:val="13C40D9D"/>
    <w:rsid w:val="13C453B0"/>
    <w:rsid w:val="13D35BC3"/>
    <w:rsid w:val="13D419E6"/>
    <w:rsid w:val="13D41CF7"/>
    <w:rsid w:val="13D54E23"/>
    <w:rsid w:val="13EE52E6"/>
    <w:rsid w:val="13EF3F65"/>
    <w:rsid w:val="13F15A54"/>
    <w:rsid w:val="13F228A8"/>
    <w:rsid w:val="13F63A36"/>
    <w:rsid w:val="13F851F8"/>
    <w:rsid w:val="13FD5C8B"/>
    <w:rsid w:val="13FF24CD"/>
    <w:rsid w:val="14050187"/>
    <w:rsid w:val="140633EA"/>
    <w:rsid w:val="14080B75"/>
    <w:rsid w:val="140C033D"/>
    <w:rsid w:val="140D2A6D"/>
    <w:rsid w:val="14126B5B"/>
    <w:rsid w:val="141A2765"/>
    <w:rsid w:val="142B7F16"/>
    <w:rsid w:val="143275F7"/>
    <w:rsid w:val="1440139F"/>
    <w:rsid w:val="14491980"/>
    <w:rsid w:val="144F1FBD"/>
    <w:rsid w:val="145D583A"/>
    <w:rsid w:val="145E6FE8"/>
    <w:rsid w:val="14637AB5"/>
    <w:rsid w:val="14685BFD"/>
    <w:rsid w:val="147D5ADA"/>
    <w:rsid w:val="14816866"/>
    <w:rsid w:val="148B7313"/>
    <w:rsid w:val="148C25FE"/>
    <w:rsid w:val="1499714E"/>
    <w:rsid w:val="149A3E0B"/>
    <w:rsid w:val="14A40973"/>
    <w:rsid w:val="14C240B5"/>
    <w:rsid w:val="14C37EC8"/>
    <w:rsid w:val="14C41011"/>
    <w:rsid w:val="14CA7DBF"/>
    <w:rsid w:val="14CE03FD"/>
    <w:rsid w:val="14D64D74"/>
    <w:rsid w:val="14D66EA6"/>
    <w:rsid w:val="14D73069"/>
    <w:rsid w:val="14E05C6E"/>
    <w:rsid w:val="14E16FF2"/>
    <w:rsid w:val="14E54C4A"/>
    <w:rsid w:val="14E75DF1"/>
    <w:rsid w:val="14E92F22"/>
    <w:rsid w:val="14E938EA"/>
    <w:rsid w:val="14EA068B"/>
    <w:rsid w:val="14F14335"/>
    <w:rsid w:val="15041D37"/>
    <w:rsid w:val="150851BB"/>
    <w:rsid w:val="150A0CCA"/>
    <w:rsid w:val="15121CE7"/>
    <w:rsid w:val="15183F71"/>
    <w:rsid w:val="151C25FD"/>
    <w:rsid w:val="151C66B7"/>
    <w:rsid w:val="15213293"/>
    <w:rsid w:val="15282FE7"/>
    <w:rsid w:val="152C628F"/>
    <w:rsid w:val="1532059F"/>
    <w:rsid w:val="1539338D"/>
    <w:rsid w:val="153949A6"/>
    <w:rsid w:val="153B4753"/>
    <w:rsid w:val="153C3427"/>
    <w:rsid w:val="153E5C2E"/>
    <w:rsid w:val="15432589"/>
    <w:rsid w:val="15486697"/>
    <w:rsid w:val="155203AB"/>
    <w:rsid w:val="15560B93"/>
    <w:rsid w:val="15570AEE"/>
    <w:rsid w:val="156C390E"/>
    <w:rsid w:val="156E759D"/>
    <w:rsid w:val="15757C7F"/>
    <w:rsid w:val="1577642C"/>
    <w:rsid w:val="15786158"/>
    <w:rsid w:val="157A2362"/>
    <w:rsid w:val="157D6C4E"/>
    <w:rsid w:val="15803958"/>
    <w:rsid w:val="158E16F9"/>
    <w:rsid w:val="158E5AEA"/>
    <w:rsid w:val="15947C90"/>
    <w:rsid w:val="15947F4F"/>
    <w:rsid w:val="1595451C"/>
    <w:rsid w:val="159761FE"/>
    <w:rsid w:val="15985713"/>
    <w:rsid w:val="15A6088C"/>
    <w:rsid w:val="15A71257"/>
    <w:rsid w:val="15AB4DCA"/>
    <w:rsid w:val="15B03D1F"/>
    <w:rsid w:val="15BD3602"/>
    <w:rsid w:val="15D35913"/>
    <w:rsid w:val="15D714B4"/>
    <w:rsid w:val="15D95C76"/>
    <w:rsid w:val="15E07012"/>
    <w:rsid w:val="15EB3EAD"/>
    <w:rsid w:val="15F14DEF"/>
    <w:rsid w:val="160616A5"/>
    <w:rsid w:val="16083949"/>
    <w:rsid w:val="160C22E0"/>
    <w:rsid w:val="160F1A33"/>
    <w:rsid w:val="1619355A"/>
    <w:rsid w:val="161D0E3F"/>
    <w:rsid w:val="16264105"/>
    <w:rsid w:val="16282881"/>
    <w:rsid w:val="16294141"/>
    <w:rsid w:val="162B23EA"/>
    <w:rsid w:val="16311F49"/>
    <w:rsid w:val="16336BFB"/>
    <w:rsid w:val="163A20D3"/>
    <w:rsid w:val="163B3F4B"/>
    <w:rsid w:val="163C5D48"/>
    <w:rsid w:val="163F34A8"/>
    <w:rsid w:val="164316B2"/>
    <w:rsid w:val="16442A8F"/>
    <w:rsid w:val="164E163A"/>
    <w:rsid w:val="164E62A2"/>
    <w:rsid w:val="165322A4"/>
    <w:rsid w:val="16590D1D"/>
    <w:rsid w:val="165E61EB"/>
    <w:rsid w:val="166625DF"/>
    <w:rsid w:val="16680D09"/>
    <w:rsid w:val="16685301"/>
    <w:rsid w:val="16716037"/>
    <w:rsid w:val="16727717"/>
    <w:rsid w:val="167A19DE"/>
    <w:rsid w:val="167D5232"/>
    <w:rsid w:val="16804397"/>
    <w:rsid w:val="16855594"/>
    <w:rsid w:val="168C00F5"/>
    <w:rsid w:val="168C39C1"/>
    <w:rsid w:val="16A65698"/>
    <w:rsid w:val="16AC193B"/>
    <w:rsid w:val="16B310D0"/>
    <w:rsid w:val="16C40297"/>
    <w:rsid w:val="16C554F1"/>
    <w:rsid w:val="16C9047A"/>
    <w:rsid w:val="16D37F13"/>
    <w:rsid w:val="16D42B7A"/>
    <w:rsid w:val="16D50090"/>
    <w:rsid w:val="17036CE0"/>
    <w:rsid w:val="17063096"/>
    <w:rsid w:val="171712F1"/>
    <w:rsid w:val="17187007"/>
    <w:rsid w:val="172569B1"/>
    <w:rsid w:val="172C6FCC"/>
    <w:rsid w:val="17351D16"/>
    <w:rsid w:val="1735452E"/>
    <w:rsid w:val="175030CF"/>
    <w:rsid w:val="175C64EA"/>
    <w:rsid w:val="17651535"/>
    <w:rsid w:val="176866F2"/>
    <w:rsid w:val="176E77A5"/>
    <w:rsid w:val="17715BC7"/>
    <w:rsid w:val="17743F61"/>
    <w:rsid w:val="17792343"/>
    <w:rsid w:val="17821F97"/>
    <w:rsid w:val="17885490"/>
    <w:rsid w:val="17942D06"/>
    <w:rsid w:val="17991010"/>
    <w:rsid w:val="17995590"/>
    <w:rsid w:val="17AE5B77"/>
    <w:rsid w:val="17B40CB3"/>
    <w:rsid w:val="17B510F0"/>
    <w:rsid w:val="17BB327E"/>
    <w:rsid w:val="17BB5762"/>
    <w:rsid w:val="17BB63C6"/>
    <w:rsid w:val="17BB69CB"/>
    <w:rsid w:val="17BC54BC"/>
    <w:rsid w:val="17BE65E4"/>
    <w:rsid w:val="17BF5676"/>
    <w:rsid w:val="17C24A0C"/>
    <w:rsid w:val="17C560B9"/>
    <w:rsid w:val="17C84709"/>
    <w:rsid w:val="17C948C0"/>
    <w:rsid w:val="17D41346"/>
    <w:rsid w:val="17D947ED"/>
    <w:rsid w:val="17E104D5"/>
    <w:rsid w:val="17E356DA"/>
    <w:rsid w:val="17E619BA"/>
    <w:rsid w:val="17EB6EC7"/>
    <w:rsid w:val="17F7533B"/>
    <w:rsid w:val="17F75390"/>
    <w:rsid w:val="17FB73DA"/>
    <w:rsid w:val="18143E48"/>
    <w:rsid w:val="182378A1"/>
    <w:rsid w:val="1824370A"/>
    <w:rsid w:val="18300A1E"/>
    <w:rsid w:val="183160A6"/>
    <w:rsid w:val="18320839"/>
    <w:rsid w:val="18466AB8"/>
    <w:rsid w:val="18470890"/>
    <w:rsid w:val="184847E1"/>
    <w:rsid w:val="184B6B17"/>
    <w:rsid w:val="184F02F0"/>
    <w:rsid w:val="18522A50"/>
    <w:rsid w:val="185232AE"/>
    <w:rsid w:val="185A4E0B"/>
    <w:rsid w:val="187D4776"/>
    <w:rsid w:val="18800AAA"/>
    <w:rsid w:val="188303E8"/>
    <w:rsid w:val="188469CF"/>
    <w:rsid w:val="188941B9"/>
    <w:rsid w:val="18912CA9"/>
    <w:rsid w:val="18AA5501"/>
    <w:rsid w:val="18AB5F2B"/>
    <w:rsid w:val="18B00B75"/>
    <w:rsid w:val="18B34B1D"/>
    <w:rsid w:val="18B74EB8"/>
    <w:rsid w:val="18BB4D51"/>
    <w:rsid w:val="18D074E6"/>
    <w:rsid w:val="18DA474E"/>
    <w:rsid w:val="18E67E16"/>
    <w:rsid w:val="18F36980"/>
    <w:rsid w:val="18F4078B"/>
    <w:rsid w:val="18FD1800"/>
    <w:rsid w:val="18FF42A1"/>
    <w:rsid w:val="190252B8"/>
    <w:rsid w:val="1907709C"/>
    <w:rsid w:val="1909147A"/>
    <w:rsid w:val="190A2D9E"/>
    <w:rsid w:val="19161F0A"/>
    <w:rsid w:val="191724BD"/>
    <w:rsid w:val="191C4933"/>
    <w:rsid w:val="19222E41"/>
    <w:rsid w:val="192B5D53"/>
    <w:rsid w:val="1930613B"/>
    <w:rsid w:val="19322D84"/>
    <w:rsid w:val="193A0F6F"/>
    <w:rsid w:val="193C774B"/>
    <w:rsid w:val="194D319A"/>
    <w:rsid w:val="194D33E6"/>
    <w:rsid w:val="194F6A2E"/>
    <w:rsid w:val="19530326"/>
    <w:rsid w:val="19553344"/>
    <w:rsid w:val="19596284"/>
    <w:rsid w:val="195B1C68"/>
    <w:rsid w:val="195D0792"/>
    <w:rsid w:val="196E215C"/>
    <w:rsid w:val="196F3480"/>
    <w:rsid w:val="19703CC8"/>
    <w:rsid w:val="197173AC"/>
    <w:rsid w:val="19775FAF"/>
    <w:rsid w:val="197E7EC1"/>
    <w:rsid w:val="197F4D00"/>
    <w:rsid w:val="19844D84"/>
    <w:rsid w:val="198468C9"/>
    <w:rsid w:val="198E50F2"/>
    <w:rsid w:val="199A798E"/>
    <w:rsid w:val="199A7E4F"/>
    <w:rsid w:val="199B0FDE"/>
    <w:rsid w:val="199F6AEE"/>
    <w:rsid w:val="19A044BC"/>
    <w:rsid w:val="19A82739"/>
    <w:rsid w:val="19AC4BAF"/>
    <w:rsid w:val="19AE36B1"/>
    <w:rsid w:val="19B14270"/>
    <w:rsid w:val="19B23D6D"/>
    <w:rsid w:val="19B8196D"/>
    <w:rsid w:val="19B91B04"/>
    <w:rsid w:val="19BA1B8F"/>
    <w:rsid w:val="19BA4A2B"/>
    <w:rsid w:val="19C1622F"/>
    <w:rsid w:val="19CC70E9"/>
    <w:rsid w:val="19D85340"/>
    <w:rsid w:val="19DA5077"/>
    <w:rsid w:val="19E10E90"/>
    <w:rsid w:val="19E30A82"/>
    <w:rsid w:val="19E51344"/>
    <w:rsid w:val="19EF5D93"/>
    <w:rsid w:val="1A0C09AE"/>
    <w:rsid w:val="1A0C2310"/>
    <w:rsid w:val="1A0F0344"/>
    <w:rsid w:val="1A196F03"/>
    <w:rsid w:val="1A1E30D8"/>
    <w:rsid w:val="1A2763AC"/>
    <w:rsid w:val="1A351871"/>
    <w:rsid w:val="1A3E66A1"/>
    <w:rsid w:val="1A4F0195"/>
    <w:rsid w:val="1A50145F"/>
    <w:rsid w:val="1A505D32"/>
    <w:rsid w:val="1A5813B2"/>
    <w:rsid w:val="1A643357"/>
    <w:rsid w:val="1A690678"/>
    <w:rsid w:val="1A692C27"/>
    <w:rsid w:val="1A6F3A1A"/>
    <w:rsid w:val="1A750FC8"/>
    <w:rsid w:val="1A824D41"/>
    <w:rsid w:val="1A87085B"/>
    <w:rsid w:val="1A8C393D"/>
    <w:rsid w:val="1A8E5DD9"/>
    <w:rsid w:val="1A8F5559"/>
    <w:rsid w:val="1A9B0AB6"/>
    <w:rsid w:val="1A9D2CA2"/>
    <w:rsid w:val="1AAD6B87"/>
    <w:rsid w:val="1AAE334D"/>
    <w:rsid w:val="1AB057E6"/>
    <w:rsid w:val="1AB306B7"/>
    <w:rsid w:val="1AB6395C"/>
    <w:rsid w:val="1AB71181"/>
    <w:rsid w:val="1AC0710E"/>
    <w:rsid w:val="1AC77744"/>
    <w:rsid w:val="1AD03F5C"/>
    <w:rsid w:val="1AD13A17"/>
    <w:rsid w:val="1AD97F79"/>
    <w:rsid w:val="1ADE782E"/>
    <w:rsid w:val="1AE21FC3"/>
    <w:rsid w:val="1AE419DF"/>
    <w:rsid w:val="1AE44701"/>
    <w:rsid w:val="1AE66911"/>
    <w:rsid w:val="1AEC2E03"/>
    <w:rsid w:val="1AEF0251"/>
    <w:rsid w:val="1AF7EC7D"/>
    <w:rsid w:val="1AFD25D0"/>
    <w:rsid w:val="1B010F18"/>
    <w:rsid w:val="1B0F4977"/>
    <w:rsid w:val="1B133656"/>
    <w:rsid w:val="1B135EA1"/>
    <w:rsid w:val="1B14282F"/>
    <w:rsid w:val="1B15060C"/>
    <w:rsid w:val="1B1D1305"/>
    <w:rsid w:val="1B2D7B6E"/>
    <w:rsid w:val="1B3F747E"/>
    <w:rsid w:val="1B417CF1"/>
    <w:rsid w:val="1B462550"/>
    <w:rsid w:val="1B4A115B"/>
    <w:rsid w:val="1B4C6BD3"/>
    <w:rsid w:val="1B5101BF"/>
    <w:rsid w:val="1B5314F8"/>
    <w:rsid w:val="1B575D4C"/>
    <w:rsid w:val="1B655004"/>
    <w:rsid w:val="1B657EC3"/>
    <w:rsid w:val="1B6C3B0B"/>
    <w:rsid w:val="1B6E7CF2"/>
    <w:rsid w:val="1B6F118C"/>
    <w:rsid w:val="1B776BE1"/>
    <w:rsid w:val="1B79317C"/>
    <w:rsid w:val="1B7F1768"/>
    <w:rsid w:val="1B850160"/>
    <w:rsid w:val="1B855A77"/>
    <w:rsid w:val="1B8B10AC"/>
    <w:rsid w:val="1B8B7923"/>
    <w:rsid w:val="1BA26BF9"/>
    <w:rsid w:val="1BAC2DFA"/>
    <w:rsid w:val="1BAD1BA9"/>
    <w:rsid w:val="1BB075AE"/>
    <w:rsid w:val="1BB10976"/>
    <w:rsid w:val="1BBB0BC8"/>
    <w:rsid w:val="1BBD0C1E"/>
    <w:rsid w:val="1BC45BEE"/>
    <w:rsid w:val="1BCF433C"/>
    <w:rsid w:val="1BD86593"/>
    <w:rsid w:val="1BE5375D"/>
    <w:rsid w:val="1BEB4B53"/>
    <w:rsid w:val="1BEF5FEA"/>
    <w:rsid w:val="1BF07ABE"/>
    <w:rsid w:val="1BF27673"/>
    <w:rsid w:val="1C0140C8"/>
    <w:rsid w:val="1C1C2F52"/>
    <w:rsid w:val="1C1E56D0"/>
    <w:rsid w:val="1C214EC8"/>
    <w:rsid w:val="1C22609E"/>
    <w:rsid w:val="1C2B4112"/>
    <w:rsid w:val="1C316406"/>
    <w:rsid w:val="1C32098F"/>
    <w:rsid w:val="1C3215DD"/>
    <w:rsid w:val="1C352F88"/>
    <w:rsid w:val="1C394A3C"/>
    <w:rsid w:val="1C395A0F"/>
    <w:rsid w:val="1C4147AB"/>
    <w:rsid w:val="1C41556D"/>
    <w:rsid w:val="1C4C3E04"/>
    <w:rsid w:val="1C595287"/>
    <w:rsid w:val="1C676569"/>
    <w:rsid w:val="1C6A6DBD"/>
    <w:rsid w:val="1C855368"/>
    <w:rsid w:val="1C9B2170"/>
    <w:rsid w:val="1C9C28E0"/>
    <w:rsid w:val="1CA17973"/>
    <w:rsid w:val="1CA513CD"/>
    <w:rsid w:val="1CAE6C4C"/>
    <w:rsid w:val="1CAF1F97"/>
    <w:rsid w:val="1CB30342"/>
    <w:rsid w:val="1CB42C0B"/>
    <w:rsid w:val="1CB43DD3"/>
    <w:rsid w:val="1CC05A03"/>
    <w:rsid w:val="1CC42ADD"/>
    <w:rsid w:val="1CC42D5E"/>
    <w:rsid w:val="1CC43B45"/>
    <w:rsid w:val="1CC7284E"/>
    <w:rsid w:val="1CC750B2"/>
    <w:rsid w:val="1CCB6270"/>
    <w:rsid w:val="1CDA586D"/>
    <w:rsid w:val="1CE2303A"/>
    <w:rsid w:val="1CE81037"/>
    <w:rsid w:val="1CE85CD7"/>
    <w:rsid w:val="1CEA0B9B"/>
    <w:rsid w:val="1CF75682"/>
    <w:rsid w:val="1D132C89"/>
    <w:rsid w:val="1D1C0007"/>
    <w:rsid w:val="1D29162C"/>
    <w:rsid w:val="1D38238F"/>
    <w:rsid w:val="1D3A08A9"/>
    <w:rsid w:val="1D3F5138"/>
    <w:rsid w:val="1D43286A"/>
    <w:rsid w:val="1D543402"/>
    <w:rsid w:val="1D5B6A1C"/>
    <w:rsid w:val="1D6F4541"/>
    <w:rsid w:val="1D7F7380"/>
    <w:rsid w:val="1D837934"/>
    <w:rsid w:val="1D876168"/>
    <w:rsid w:val="1D8B1988"/>
    <w:rsid w:val="1D8C529C"/>
    <w:rsid w:val="1D90042B"/>
    <w:rsid w:val="1D9E6E40"/>
    <w:rsid w:val="1DA1671D"/>
    <w:rsid w:val="1DAE2385"/>
    <w:rsid w:val="1DB359DB"/>
    <w:rsid w:val="1DBC2DE0"/>
    <w:rsid w:val="1DC633DC"/>
    <w:rsid w:val="1DC735BA"/>
    <w:rsid w:val="1DCF713F"/>
    <w:rsid w:val="1DD424E3"/>
    <w:rsid w:val="1DD52ED3"/>
    <w:rsid w:val="1DD5485E"/>
    <w:rsid w:val="1DD64509"/>
    <w:rsid w:val="1DD82780"/>
    <w:rsid w:val="1DDD0379"/>
    <w:rsid w:val="1DDF5F46"/>
    <w:rsid w:val="1DE05EB7"/>
    <w:rsid w:val="1DE5578F"/>
    <w:rsid w:val="1DE5634C"/>
    <w:rsid w:val="1DE7226A"/>
    <w:rsid w:val="1DF15CF3"/>
    <w:rsid w:val="1DF278C9"/>
    <w:rsid w:val="1DFD1CE5"/>
    <w:rsid w:val="1DFE5485"/>
    <w:rsid w:val="1E045AF5"/>
    <w:rsid w:val="1E084405"/>
    <w:rsid w:val="1E0F008B"/>
    <w:rsid w:val="1E1C551A"/>
    <w:rsid w:val="1E1FAE54"/>
    <w:rsid w:val="1E2D0F8F"/>
    <w:rsid w:val="1E2E0E20"/>
    <w:rsid w:val="1E305374"/>
    <w:rsid w:val="1E3304FD"/>
    <w:rsid w:val="1E3456A0"/>
    <w:rsid w:val="1E384F8E"/>
    <w:rsid w:val="1E3E6D55"/>
    <w:rsid w:val="1E416D39"/>
    <w:rsid w:val="1E427F2D"/>
    <w:rsid w:val="1E4C7D30"/>
    <w:rsid w:val="1E583413"/>
    <w:rsid w:val="1E5B2356"/>
    <w:rsid w:val="1E615EB9"/>
    <w:rsid w:val="1E621507"/>
    <w:rsid w:val="1E70717F"/>
    <w:rsid w:val="1E7D38DE"/>
    <w:rsid w:val="1E8E3FCF"/>
    <w:rsid w:val="1E926D77"/>
    <w:rsid w:val="1E946DCB"/>
    <w:rsid w:val="1E9639DF"/>
    <w:rsid w:val="1EA7791D"/>
    <w:rsid w:val="1EAA108A"/>
    <w:rsid w:val="1EB41FAE"/>
    <w:rsid w:val="1EB70A9F"/>
    <w:rsid w:val="1EBF3882"/>
    <w:rsid w:val="1ECA5336"/>
    <w:rsid w:val="1ECB2732"/>
    <w:rsid w:val="1ED35C75"/>
    <w:rsid w:val="1EDF0E48"/>
    <w:rsid w:val="1EE20318"/>
    <w:rsid w:val="1EE5718A"/>
    <w:rsid w:val="1EEC0A59"/>
    <w:rsid w:val="1EFE3CD0"/>
    <w:rsid w:val="1F0B7E63"/>
    <w:rsid w:val="1F1141DF"/>
    <w:rsid w:val="1F1507AF"/>
    <w:rsid w:val="1F161863"/>
    <w:rsid w:val="1F2611C4"/>
    <w:rsid w:val="1F2C1B1A"/>
    <w:rsid w:val="1F3F7E23"/>
    <w:rsid w:val="1F457D10"/>
    <w:rsid w:val="1F4810E2"/>
    <w:rsid w:val="1F510D58"/>
    <w:rsid w:val="1F523FDB"/>
    <w:rsid w:val="1F5814EC"/>
    <w:rsid w:val="1F5A5F97"/>
    <w:rsid w:val="1F5F7CC1"/>
    <w:rsid w:val="1F611DE1"/>
    <w:rsid w:val="1F6272E1"/>
    <w:rsid w:val="1F6645CB"/>
    <w:rsid w:val="1F673EE3"/>
    <w:rsid w:val="1F755100"/>
    <w:rsid w:val="1F846FC2"/>
    <w:rsid w:val="1F853B76"/>
    <w:rsid w:val="1F8B5595"/>
    <w:rsid w:val="1F8F163F"/>
    <w:rsid w:val="1F986BCB"/>
    <w:rsid w:val="1FA27936"/>
    <w:rsid w:val="1FB140CE"/>
    <w:rsid w:val="1FB65C40"/>
    <w:rsid w:val="1FC021A3"/>
    <w:rsid w:val="1FC71E59"/>
    <w:rsid w:val="1FC80265"/>
    <w:rsid w:val="1FD3179F"/>
    <w:rsid w:val="1FD37762"/>
    <w:rsid w:val="1FD52688"/>
    <w:rsid w:val="1FE26ED4"/>
    <w:rsid w:val="1FEB7356"/>
    <w:rsid w:val="1FFB0C7D"/>
    <w:rsid w:val="1FFE2B67"/>
    <w:rsid w:val="201D5F97"/>
    <w:rsid w:val="20216F69"/>
    <w:rsid w:val="20240391"/>
    <w:rsid w:val="20277CE5"/>
    <w:rsid w:val="2035397F"/>
    <w:rsid w:val="20377336"/>
    <w:rsid w:val="2043534D"/>
    <w:rsid w:val="20453367"/>
    <w:rsid w:val="20491EBE"/>
    <w:rsid w:val="20572AFF"/>
    <w:rsid w:val="20595D0A"/>
    <w:rsid w:val="20655733"/>
    <w:rsid w:val="206F0751"/>
    <w:rsid w:val="20770E01"/>
    <w:rsid w:val="2083155B"/>
    <w:rsid w:val="2093290B"/>
    <w:rsid w:val="209A1225"/>
    <w:rsid w:val="20A0523D"/>
    <w:rsid w:val="20A17229"/>
    <w:rsid w:val="20B86FE7"/>
    <w:rsid w:val="20C74867"/>
    <w:rsid w:val="20C824B5"/>
    <w:rsid w:val="20D5188B"/>
    <w:rsid w:val="20DC6D0F"/>
    <w:rsid w:val="20E21EEF"/>
    <w:rsid w:val="20F9436E"/>
    <w:rsid w:val="210C5771"/>
    <w:rsid w:val="210D733E"/>
    <w:rsid w:val="211D76F3"/>
    <w:rsid w:val="211E4E7D"/>
    <w:rsid w:val="211F09CB"/>
    <w:rsid w:val="21242CB9"/>
    <w:rsid w:val="21253F90"/>
    <w:rsid w:val="21280F6B"/>
    <w:rsid w:val="21283DC1"/>
    <w:rsid w:val="212A36C8"/>
    <w:rsid w:val="2130301A"/>
    <w:rsid w:val="21393A9A"/>
    <w:rsid w:val="21432A77"/>
    <w:rsid w:val="21434410"/>
    <w:rsid w:val="214847F9"/>
    <w:rsid w:val="21557A9D"/>
    <w:rsid w:val="21696C03"/>
    <w:rsid w:val="21704DBB"/>
    <w:rsid w:val="217A5ABE"/>
    <w:rsid w:val="21827B42"/>
    <w:rsid w:val="21877108"/>
    <w:rsid w:val="21973644"/>
    <w:rsid w:val="21982624"/>
    <w:rsid w:val="21A9661A"/>
    <w:rsid w:val="21BC5EE1"/>
    <w:rsid w:val="21C011EA"/>
    <w:rsid w:val="21C4058A"/>
    <w:rsid w:val="21C43B91"/>
    <w:rsid w:val="21D56E04"/>
    <w:rsid w:val="21DE0377"/>
    <w:rsid w:val="21E005EE"/>
    <w:rsid w:val="21E27902"/>
    <w:rsid w:val="21EA0742"/>
    <w:rsid w:val="21EE4C17"/>
    <w:rsid w:val="21EF5C11"/>
    <w:rsid w:val="21F43B77"/>
    <w:rsid w:val="21F735D1"/>
    <w:rsid w:val="220157DA"/>
    <w:rsid w:val="22030EAC"/>
    <w:rsid w:val="220D7E69"/>
    <w:rsid w:val="2214133B"/>
    <w:rsid w:val="22173635"/>
    <w:rsid w:val="22174B18"/>
    <w:rsid w:val="221A1C70"/>
    <w:rsid w:val="222370B4"/>
    <w:rsid w:val="22264CCB"/>
    <w:rsid w:val="222D119E"/>
    <w:rsid w:val="22301279"/>
    <w:rsid w:val="224E6082"/>
    <w:rsid w:val="22517F0E"/>
    <w:rsid w:val="22590288"/>
    <w:rsid w:val="22596827"/>
    <w:rsid w:val="226402E8"/>
    <w:rsid w:val="22651085"/>
    <w:rsid w:val="22652B4A"/>
    <w:rsid w:val="226E7F94"/>
    <w:rsid w:val="227232AB"/>
    <w:rsid w:val="22776456"/>
    <w:rsid w:val="227821CE"/>
    <w:rsid w:val="227B6861"/>
    <w:rsid w:val="227C04B6"/>
    <w:rsid w:val="227D6887"/>
    <w:rsid w:val="22886DA9"/>
    <w:rsid w:val="2289757E"/>
    <w:rsid w:val="2290203C"/>
    <w:rsid w:val="22934D20"/>
    <w:rsid w:val="22937DF2"/>
    <w:rsid w:val="22974D49"/>
    <w:rsid w:val="22A73633"/>
    <w:rsid w:val="22B30063"/>
    <w:rsid w:val="22B531C3"/>
    <w:rsid w:val="22C72970"/>
    <w:rsid w:val="22D04CBB"/>
    <w:rsid w:val="22DB3FFB"/>
    <w:rsid w:val="22E53CFD"/>
    <w:rsid w:val="22E7591F"/>
    <w:rsid w:val="22E97CB3"/>
    <w:rsid w:val="22EC7149"/>
    <w:rsid w:val="22ED7FD3"/>
    <w:rsid w:val="22F6166E"/>
    <w:rsid w:val="22F83315"/>
    <w:rsid w:val="22FC3F3B"/>
    <w:rsid w:val="22FD4A68"/>
    <w:rsid w:val="22FF090E"/>
    <w:rsid w:val="23007B34"/>
    <w:rsid w:val="23034CBF"/>
    <w:rsid w:val="230C273D"/>
    <w:rsid w:val="230E0454"/>
    <w:rsid w:val="230E7096"/>
    <w:rsid w:val="231B5E49"/>
    <w:rsid w:val="231D14E3"/>
    <w:rsid w:val="23227CD5"/>
    <w:rsid w:val="23251C20"/>
    <w:rsid w:val="23260E77"/>
    <w:rsid w:val="23276B54"/>
    <w:rsid w:val="23281F36"/>
    <w:rsid w:val="232A1921"/>
    <w:rsid w:val="23360BBC"/>
    <w:rsid w:val="233A70D8"/>
    <w:rsid w:val="233C4B1C"/>
    <w:rsid w:val="23401125"/>
    <w:rsid w:val="23421C99"/>
    <w:rsid w:val="234450DF"/>
    <w:rsid w:val="23480917"/>
    <w:rsid w:val="235A6AAE"/>
    <w:rsid w:val="2362243E"/>
    <w:rsid w:val="236607E9"/>
    <w:rsid w:val="2370287E"/>
    <w:rsid w:val="23703973"/>
    <w:rsid w:val="23741634"/>
    <w:rsid w:val="23843E70"/>
    <w:rsid w:val="2387396B"/>
    <w:rsid w:val="23875352"/>
    <w:rsid w:val="238E2CA0"/>
    <w:rsid w:val="239409CD"/>
    <w:rsid w:val="23991C0B"/>
    <w:rsid w:val="239D26E2"/>
    <w:rsid w:val="23A30346"/>
    <w:rsid w:val="23A54981"/>
    <w:rsid w:val="23AE7734"/>
    <w:rsid w:val="23AF01E8"/>
    <w:rsid w:val="23AF5D19"/>
    <w:rsid w:val="23B62DEC"/>
    <w:rsid w:val="23B70711"/>
    <w:rsid w:val="23BA05F7"/>
    <w:rsid w:val="23BA34CA"/>
    <w:rsid w:val="23BC4F39"/>
    <w:rsid w:val="23BD0351"/>
    <w:rsid w:val="23D0069E"/>
    <w:rsid w:val="23D81883"/>
    <w:rsid w:val="23DF13DF"/>
    <w:rsid w:val="23E46869"/>
    <w:rsid w:val="23E500F3"/>
    <w:rsid w:val="23FC3ECA"/>
    <w:rsid w:val="24025F41"/>
    <w:rsid w:val="240D7639"/>
    <w:rsid w:val="240D7A61"/>
    <w:rsid w:val="240E560E"/>
    <w:rsid w:val="240F60DE"/>
    <w:rsid w:val="241067B1"/>
    <w:rsid w:val="241236AA"/>
    <w:rsid w:val="24165A65"/>
    <w:rsid w:val="24174A02"/>
    <w:rsid w:val="243B46E9"/>
    <w:rsid w:val="244348F0"/>
    <w:rsid w:val="24445E0D"/>
    <w:rsid w:val="246452B0"/>
    <w:rsid w:val="24651302"/>
    <w:rsid w:val="246764B6"/>
    <w:rsid w:val="246D55ED"/>
    <w:rsid w:val="246F5710"/>
    <w:rsid w:val="247300E2"/>
    <w:rsid w:val="24842CE0"/>
    <w:rsid w:val="248644A5"/>
    <w:rsid w:val="248D351C"/>
    <w:rsid w:val="24931657"/>
    <w:rsid w:val="24A50747"/>
    <w:rsid w:val="24AE207B"/>
    <w:rsid w:val="24B505FC"/>
    <w:rsid w:val="24BB4F69"/>
    <w:rsid w:val="24CE74C8"/>
    <w:rsid w:val="24DA4B7A"/>
    <w:rsid w:val="24E2736D"/>
    <w:rsid w:val="24E361C5"/>
    <w:rsid w:val="24F139F0"/>
    <w:rsid w:val="24F21341"/>
    <w:rsid w:val="24F44EED"/>
    <w:rsid w:val="250C0B45"/>
    <w:rsid w:val="25150808"/>
    <w:rsid w:val="252156ED"/>
    <w:rsid w:val="25227435"/>
    <w:rsid w:val="252F6651"/>
    <w:rsid w:val="25310035"/>
    <w:rsid w:val="25361A82"/>
    <w:rsid w:val="2537116C"/>
    <w:rsid w:val="25385D54"/>
    <w:rsid w:val="253B3588"/>
    <w:rsid w:val="253C799A"/>
    <w:rsid w:val="25483CF6"/>
    <w:rsid w:val="25495267"/>
    <w:rsid w:val="255361D5"/>
    <w:rsid w:val="25541FF0"/>
    <w:rsid w:val="255D1222"/>
    <w:rsid w:val="25613F4E"/>
    <w:rsid w:val="256849EF"/>
    <w:rsid w:val="2570020F"/>
    <w:rsid w:val="25722A7C"/>
    <w:rsid w:val="2577637B"/>
    <w:rsid w:val="257D0AB2"/>
    <w:rsid w:val="257E158B"/>
    <w:rsid w:val="25805509"/>
    <w:rsid w:val="258F12C0"/>
    <w:rsid w:val="25952841"/>
    <w:rsid w:val="259E552F"/>
    <w:rsid w:val="25A401C9"/>
    <w:rsid w:val="25A75119"/>
    <w:rsid w:val="25B43909"/>
    <w:rsid w:val="25BE710A"/>
    <w:rsid w:val="25C524BB"/>
    <w:rsid w:val="25D06ADE"/>
    <w:rsid w:val="25D216E5"/>
    <w:rsid w:val="25E2017B"/>
    <w:rsid w:val="25E80927"/>
    <w:rsid w:val="25E82752"/>
    <w:rsid w:val="25E90343"/>
    <w:rsid w:val="25F255EE"/>
    <w:rsid w:val="25F65388"/>
    <w:rsid w:val="260D379B"/>
    <w:rsid w:val="26126107"/>
    <w:rsid w:val="26142587"/>
    <w:rsid w:val="261B7430"/>
    <w:rsid w:val="26201C18"/>
    <w:rsid w:val="262307A4"/>
    <w:rsid w:val="26231432"/>
    <w:rsid w:val="2624798C"/>
    <w:rsid w:val="26282A63"/>
    <w:rsid w:val="2628559C"/>
    <w:rsid w:val="263A5013"/>
    <w:rsid w:val="263B066E"/>
    <w:rsid w:val="263D3F60"/>
    <w:rsid w:val="2640565C"/>
    <w:rsid w:val="26421856"/>
    <w:rsid w:val="264A3AA4"/>
    <w:rsid w:val="264F6681"/>
    <w:rsid w:val="26570FB2"/>
    <w:rsid w:val="265B640A"/>
    <w:rsid w:val="265B78B8"/>
    <w:rsid w:val="265C2793"/>
    <w:rsid w:val="266034FD"/>
    <w:rsid w:val="2660406C"/>
    <w:rsid w:val="26631F67"/>
    <w:rsid w:val="26677914"/>
    <w:rsid w:val="26686626"/>
    <w:rsid w:val="26705CAA"/>
    <w:rsid w:val="267777E8"/>
    <w:rsid w:val="2679122C"/>
    <w:rsid w:val="267E3E85"/>
    <w:rsid w:val="268255B5"/>
    <w:rsid w:val="268801C1"/>
    <w:rsid w:val="26897554"/>
    <w:rsid w:val="268A1DDE"/>
    <w:rsid w:val="268A5CB5"/>
    <w:rsid w:val="26931D67"/>
    <w:rsid w:val="26940813"/>
    <w:rsid w:val="2696203B"/>
    <w:rsid w:val="26997A18"/>
    <w:rsid w:val="269E6727"/>
    <w:rsid w:val="26A7407F"/>
    <w:rsid w:val="26A8187E"/>
    <w:rsid w:val="26AA0A4C"/>
    <w:rsid w:val="26AC2579"/>
    <w:rsid w:val="26AC64C2"/>
    <w:rsid w:val="26AF43AE"/>
    <w:rsid w:val="26B90CE1"/>
    <w:rsid w:val="26B92C3F"/>
    <w:rsid w:val="26D217E0"/>
    <w:rsid w:val="26D92D8E"/>
    <w:rsid w:val="26E756B5"/>
    <w:rsid w:val="26F050C5"/>
    <w:rsid w:val="26F26520"/>
    <w:rsid w:val="26F31712"/>
    <w:rsid w:val="26F43986"/>
    <w:rsid w:val="26F6579A"/>
    <w:rsid w:val="26FA4CD1"/>
    <w:rsid w:val="26FC669F"/>
    <w:rsid w:val="27027C2D"/>
    <w:rsid w:val="27081B1C"/>
    <w:rsid w:val="270D129F"/>
    <w:rsid w:val="270E14E3"/>
    <w:rsid w:val="27106BB1"/>
    <w:rsid w:val="271B60D2"/>
    <w:rsid w:val="271C0A64"/>
    <w:rsid w:val="272A06F4"/>
    <w:rsid w:val="27313F48"/>
    <w:rsid w:val="273406F8"/>
    <w:rsid w:val="27365397"/>
    <w:rsid w:val="2738087E"/>
    <w:rsid w:val="27384934"/>
    <w:rsid w:val="27472992"/>
    <w:rsid w:val="274C67BF"/>
    <w:rsid w:val="274C6D5B"/>
    <w:rsid w:val="274E7E60"/>
    <w:rsid w:val="275609F2"/>
    <w:rsid w:val="27585C4D"/>
    <w:rsid w:val="276224B4"/>
    <w:rsid w:val="276369EE"/>
    <w:rsid w:val="276E7795"/>
    <w:rsid w:val="27701A83"/>
    <w:rsid w:val="27843570"/>
    <w:rsid w:val="2789646D"/>
    <w:rsid w:val="278D3D9A"/>
    <w:rsid w:val="278E11AF"/>
    <w:rsid w:val="27924B40"/>
    <w:rsid w:val="279948D8"/>
    <w:rsid w:val="279B10D3"/>
    <w:rsid w:val="279E5C87"/>
    <w:rsid w:val="27B21C24"/>
    <w:rsid w:val="27B37802"/>
    <w:rsid w:val="27B45B60"/>
    <w:rsid w:val="27B668C8"/>
    <w:rsid w:val="27C0202B"/>
    <w:rsid w:val="27C94471"/>
    <w:rsid w:val="27DB60E9"/>
    <w:rsid w:val="27E41D8E"/>
    <w:rsid w:val="27E54321"/>
    <w:rsid w:val="27E85A9A"/>
    <w:rsid w:val="27EE4106"/>
    <w:rsid w:val="28096E54"/>
    <w:rsid w:val="28186567"/>
    <w:rsid w:val="28200235"/>
    <w:rsid w:val="282860FF"/>
    <w:rsid w:val="282C6EF7"/>
    <w:rsid w:val="282D2057"/>
    <w:rsid w:val="2830041B"/>
    <w:rsid w:val="28421CFF"/>
    <w:rsid w:val="28476ABB"/>
    <w:rsid w:val="284A7985"/>
    <w:rsid w:val="284F66AA"/>
    <w:rsid w:val="28514A76"/>
    <w:rsid w:val="28514C8E"/>
    <w:rsid w:val="285B313F"/>
    <w:rsid w:val="285B6C9C"/>
    <w:rsid w:val="285F2C4D"/>
    <w:rsid w:val="285F5DC8"/>
    <w:rsid w:val="28675CFF"/>
    <w:rsid w:val="286E5C29"/>
    <w:rsid w:val="287240CD"/>
    <w:rsid w:val="28875BE0"/>
    <w:rsid w:val="28876A0B"/>
    <w:rsid w:val="288B0172"/>
    <w:rsid w:val="288B6CF1"/>
    <w:rsid w:val="289949FD"/>
    <w:rsid w:val="28A05C93"/>
    <w:rsid w:val="28A405AE"/>
    <w:rsid w:val="28B06C28"/>
    <w:rsid w:val="28B10906"/>
    <w:rsid w:val="28B17987"/>
    <w:rsid w:val="28B55114"/>
    <w:rsid w:val="28C030A8"/>
    <w:rsid w:val="28C512D7"/>
    <w:rsid w:val="28C9127C"/>
    <w:rsid w:val="28D057D6"/>
    <w:rsid w:val="28D95D8B"/>
    <w:rsid w:val="28E61190"/>
    <w:rsid w:val="28E752D5"/>
    <w:rsid w:val="28E9382A"/>
    <w:rsid w:val="28EF1670"/>
    <w:rsid w:val="28F6119D"/>
    <w:rsid w:val="28F84057"/>
    <w:rsid w:val="28FB51D5"/>
    <w:rsid w:val="29056B61"/>
    <w:rsid w:val="2907235B"/>
    <w:rsid w:val="29156420"/>
    <w:rsid w:val="29207959"/>
    <w:rsid w:val="292C4BAB"/>
    <w:rsid w:val="29352D99"/>
    <w:rsid w:val="293636BA"/>
    <w:rsid w:val="29516F3F"/>
    <w:rsid w:val="29564897"/>
    <w:rsid w:val="29631EBF"/>
    <w:rsid w:val="29654520"/>
    <w:rsid w:val="29667BC0"/>
    <w:rsid w:val="296F4930"/>
    <w:rsid w:val="29726463"/>
    <w:rsid w:val="297A7632"/>
    <w:rsid w:val="29803BE7"/>
    <w:rsid w:val="2994369B"/>
    <w:rsid w:val="2996198C"/>
    <w:rsid w:val="29966A96"/>
    <w:rsid w:val="299F5BC4"/>
    <w:rsid w:val="29B85C4A"/>
    <w:rsid w:val="29BB3F57"/>
    <w:rsid w:val="29C47EB0"/>
    <w:rsid w:val="29D0680A"/>
    <w:rsid w:val="29D26A74"/>
    <w:rsid w:val="29D96505"/>
    <w:rsid w:val="29DC1BDB"/>
    <w:rsid w:val="29F01A00"/>
    <w:rsid w:val="29F71E6E"/>
    <w:rsid w:val="29F95C39"/>
    <w:rsid w:val="2A011E15"/>
    <w:rsid w:val="2A092278"/>
    <w:rsid w:val="2A0961A2"/>
    <w:rsid w:val="2A11602C"/>
    <w:rsid w:val="2A182A29"/>
    <w:rsid w:val="2A1C47DF"/>
    <w:rsid w:val="2A1D3BC2"/>
    <w:rsid w:val="2A1E7FD0"/>
    <w:rsid w:val="2A212850"/>
    <w:rsid w:val="2A2A0D2C"/>
    <w:rsid w:val="2A2F7068"/>
    <w:rsid w:val="2A311ED8"/>
    <w:rsid w:val="2A37668E"/>
    <w:rsid w:val="2A3865D6"/>
    <w:rsid w:val="2A405FA8"/>
    <w:rsid w:val="2A5825F6"/>
    <w:rsid w:val="2A5F0B13"/>
    <w:rsid w:val="2A5F7448"/>
    <w:rsid w:val="2A603EFB"/>
    <w:rsid w:val="2A650986"/>
    <w:rsid w:val="2A6D00D3"/>
    <w:rsid w:val="2A7C1EB9"/>
    <w:rsid w:val="2A7C43B4"/>
    <w:rsid w:val="2A83168E"/>
    <w:rsid w:val="2A8E1E4D"/>
    <w:rsid w:val="2A9D218B"/>
    <w:rsid w:val="2AA63C7B"/>
    <w:rsid w:val="2AB360F6"/>
    <w:rsid w:val="2AB66B90"/>
    <w:rsid w:val="2AB76103"/>
    <w:rsid w:val="2ABC778F"/>
    <w:rsid w:val="2AC432A5"/>
    <w:rsid w:val="2AC65B9C"/>
    <w:rsid w:val="2AC83817"/>
    <w:rsid w:val="2ACA284F"/>
    <w:rsid w:val="2ACA3407"/>
    <w:rsid w:val="2AD22E2C"/>
    <w:rsid w:val="2ADD3F34"/>
    <w:rsid w:val="2ADE1B24"/>
    <w:rsid w:val="2AE508E8"/>
    <w:rsid w:val="2AE5279A"/>
    <w:rsid w:val="2AE66E76"/>
    <w:rsid w:val="2AF35E52"/>
    <w:rsid w:val="2B03592E"/>
    <w:rsid w:val="2B242488"/>
    <w:rsid w:val="2B3544EF"/>
    <w:rsid w:val="2B384176"/>
    <w:rsid w:val="2B5318C5"/>
    <w:rsid w:val="2B691D02"/>
    <w:rsid w:val="2B72718E"/>
    <w:rsid w:val="2B76083A"/>
    <w:rsid w:val="2B762F4B"/>
    <w:rsid w:val="2B796DAB"/>
    <w:rsid w:val="2B7A16F9"/>
    <w:rsid w:val="2B7D489D"/>
    <w:rsid w:val="2B80231C"/>
    <w:rsid w:val="2B836B79"/>
    <w:rsid w:val="2B886BD8"/>
    <w:rsid w:val="2B890B81"/>
    <w:rsid w:val="2B8B787D"/>
    <w:rsid w:val="2B8D3F76"/>
    <w:rsid w:val="2B9D7699"/>
    <w:rsid w:val="2B9D7E86"/>
    <w:rsid w:val="2BA42CDC"/>
    <w:rsid w:val="2BA84430"/>
    <w:rsid w:val="2BAB6119"/>
    <w:rsid w:val="2BBF4B0F"/>
    <w:rsid w:val="2BC027D9"/>
    <w:rsid w:val="2BCE7B9E"/>
    <w:rsid w:val="2BD54B11"/>
    <w:rsid w:val="2BDA5EFF"/>
    <w:rsid w:val="2BDE4D5B"/>
    <w:rsid w:val="2BEC36A5"/>
    <w:rsid w:val="2BF10A29"/>
    <w:rsid w:val="2C09109D"/>
    <w:rsid w:val="2C091180"/>
    <w:rsid w:val="2C106FD0"/>
    <w:rsid w:val="2C166738"/>
    <w:rsid w:val="2C1F0B3E"/>
    <w:rsid w:val="2C366FA7"/>
    <w:rsid w:val="2C375592"/>
    <w:rsid w:val="2C3A05CF"/>
    <w:rsid w:val="2C425D00"/>
    <w:rsid w:val="2C44296D"/>
    <w:rsid w:val="2C4D0258"/>
    <w:rsid w:val="2C535195"/>
    <w:rsid w:val="2C575DC1"/>
    <w:rsid w:val="2C5E27F3"/>
    <w:rsid w:val="2C605D57"/>
    <w:rsid w:val="2C674032"/>
    <w:rsid w:val="2C732647"/>
    <w:rsid w:val="2C7B4651"/>
    <w:rsid w:val="2C7F49CE"/>
    <w:rsid w:val="2C8020DE"/>
    <w:rsid w:val="2C805741"/>
    <w:rsid w:val="2C844969"/>
    <w:rsid w:val="2C863CAB"/>
    <w:rsid w:val="2C89295F"/>
    <w:rsid w:val="2C961765"/>
    <w:rsid w:val="2C992409"/>
    <w:rsid w:val="2C9A41C7"/>
    <w:rsid w:val="2C9D6CE8"/>
    <w:rsid w:val="2CA91218"/>
    <w:rsid w:val="2CAA2F6C"/>
    <w:rsid w:val="2CAB1132"/>
    <w:rsid w:val="2CAB44BF"/>
    <w:rsid w:val="2CAE0F8F"/>
    <w:rsid w:val="2CAE1AE3"/>
    <w:rsid w:val="2CAF2725"/>
    <w:rsid w:val="2CB13B34"/>
    <w:rsid w:val="2CB3748F"/>
    <w:rsid w:val="2CB41CD9"/>
    <w:rsid w:val="2CC00534"/>
    <w:rsid w:val="2CD9498A"/>
    <w:rsid w:val="2CDB636D"/>
    <w:rsid w:val="2CF26F28"/>
    <w:rsid w:val="2CF61101"/>
    <w:rsid w:val="2CF62C08"/>
    <w:rsid w:val="2D0C0340"/>
    <w:rsid w:val="2D134014"/>
    <w:rsid w:val="2D1C41A2"/>
    <w:rsid w:val="2D1E43FD"/>
    <w:rsid w:val="2D256B4E"/>
    <w:rsid w:val="2D261309"/>
    <w:rsid w:val="2D292F9E"/>
    <w:rsid w:val="2D294CE4"/>
    <w:rsid w:val="2D2B1431"/>
    <w:rsid w:val="2D3216AC"/>
    <w:rsid w:val="2D335662"/>
    <w:rsid w:val="2D3554F6"/>
    <w:rsid w:val="2D3A5FA1"/>
    <w:rsid w:val="2D3C22C0"/>
    <w:rsid w:val="2D3C73A5"/>
    <w:rsid w:val="2D4D24CE"/>
    <w:rsid w:val="2D551D59"/>
    <w:rsid w:val="2D5657DD"/>
    <w:rsid w:val="2D5F7B29"/>
    <w:rsid w:val="2D735881"/>
    <w:rsid w:val="2D746F99"/>
    <w:rsid w:val="2D7A712B"/>
    <w:rsid w:val="2D7C3A73"/>
    <w:rsid w:val="2D7E6987"/>
    <w:rsid w:val="2D7F6F21"/>
    <w:rsid w:val="2D86070D"/>
    <w:rsid w:val="2D881029"/>
    <w:rsid w:val="2D8F2155"/>
    <w:rsid w:val="2D8F5892"/>
    <w:rsid w:val="2DAC5A36"/>
    <w:rsid w:val="2DB006BF"/>
    <w:rsid w:val="2DB76B8D"/>
    <w:rsid w:val="2DBA406C"/>
    <w:rsid w:val="2DC45FD4"/>
    <w:rsid w:val="2DC621A7"/>
    <w:rsid w:val="2DC6369C"/>
    <w:rsid w:val="2DC80216"/>
    <w:rsid w:val="2DCB5E2D"/>
    <w:rsid w:val="2DCC240B"/>
    <w:rsid w:val="2DD059B7"/>
    <w:rsid w:val="2DDF67EA"/>
    <w:rsid w:val="2DE253D5"/>
    <w:rsid w:val="2DEF3E00"/>
    <w:rsid w:val="2DF70864"/>
    <w:rsid w:val="2E08688E"/>
    <w:rsid w:val="2E0A2685"/>
    <w:rsid w:val="2E157475"/>
    <w:rsid w:val="2E1925DB"/>
    <w:rsid w:val="2E192FCC"/>
    <w:rsid w:val="2E1C3B55"/>
    <w:rsid w:val="2E2028D1"/>
    <w:rsid w:val="2E244B92"/>
    <w:rsid w:val="2E301A69"/>
    <w:rsid w:val="2E3110B1"/>
    <w:rsid w:val="2E3B75DA"/>
    <w:rsid w:val="2E441EA7"/>
    <w:rsid w:val="2E4F0764"/>
    <w:rsid w:val="2E50042D"/>
    <w:rsid w:val="2E517C79"/>
    <w:rsid w:val="2E643DF7"/>
    <w:rsid w:val="2E647745"/>
    <w:rsid w:val="2E771458"/>
    <w:rsid w:val="2E8050B8"/>
    <w:rsid w:val="2E8A6A37"/>
    <w:rsid w:val="2E924A35"/>
    <w:rsid w:val="2E966216"/>
    <w:rsid w:val="2E993CE6"/>
    <w:rsid w:val="2E9F6A79"/>
    <w:rsid w:val="2EB15EF7"/>
    <w:rsid w:val="2EB6442B"/>
    <w:rsid w:val="2EBA14BD"/>
    <w:rsid w:val="2EC01375"/>
    <w:rsid w:val="2EC36FC1"/>
    <w:rsid w:val="2EC84F94"/>
    <w:rsid w:val="2ECB010F"/>
    <w:rsid w:val="2ED11E06"/>
    <w:rsid w:val="2ED13AE9"/>
    <w:rsid w:val="2ED44C66"/>
    <w:rsid w:val="2ED550C4"/>
    <w:rsid w:val="2ED57DC7"/>
    <w:rsid w:val="2EDC1585"/>
    <w:rsid w:val="2EDF365D"/>
    <w:rsid w:val="2EF40F7D"/>
    <w:rsid w:val="2EFF48DB"/>
    <w:rsid w:val="2F0169B6"/>
    <w:rsid w:val="2F126BEA"/>
    <w:rsid w:val="2F162980"/>
    <w:rsid w:val="2F1F1B33"/>
    <w:rsid w:val="2F29088D"/>
    <w:rsid w:val="2F2C726E"/>
    <w:rsid w:val="2F2F1059"/>
    <w:rsid w:val="2F332182"/>
    <w:rsid w:val="2F450F91"/>
    <w:rsid w:val="2F4B30E7"/>
    <w:rsid w:val="2F536A09"/>
    <w:rsid w:val="2F5628D9"/>
    <w:rsid w:val="2F570C04"/>
    <w:rsid w:val="2F5B77B4"/>
    <w:rsid w:val="2F68454B"/>
    <w:rsid w:val="2F6E5178"/>
    <w:rsid w:val="2F6F5435"/>
    <w:rsid w:val="2F7B229D"/>
    <w:rsid w:val="2F7C183C"/>
    <w:rsid w:val="2F7F0CBF"/>
    <w:rsid w:val="2F851DA4"/>
    <w:rsid w:val="2F890EB2"/>
    <w:rsid w:val="2F977C75"/>
    <w:rsid w:val="2FA03052"/>
    <w:rsid w:val="2FAB4398"/>
    <w:rsid w:val="2FB21808"/>
    <w:rsid w:val="2FB36D10"/>
    <w:rsid w:val="2FB50AEE"/>
    <w:rsid w:val="2FBB63AA"/>
    <w:rsid w:val="2FBE113B"/>
    <w:rsid w:val="2FC47D9E"/>
    <w:rsid w:val="2FCC1562"/>
    <w:rsid w:val="2FD24A14"/>
    <w:rsid w:val="2FDE08C7"/>
    <w:rsid w:val="2FE06D13"/>
    <w:rsid w:val="2FEB469E"/>
    <w:rsid w:val="2FED38E7"/>
    <w:rsid w:val="2FED53E1"/>
    <w:rsid w:val="2FF1660F"/>
    <w:rsid w:val="2FF403A3"/>
    <w:rsid w:val="2FF77EC1"/>
    <w:rsid w:val="2FF8027E"/>
    <w:rsid w:val="300E0A3D"/>
    <w:rsid w:val="300E487C"/>
    <w:rsid w:val="300F34AE"/>
    <w:rsid w:val="30184366"/>
    <w:rsid w:val="301E2E71"/>
    <w:rsid w:val="301F186B"/>
    <w:rsid w:val="302A034A"/>
    <w:rsid w:val="302E444D"/>
    <w:rsid w:val="30315DFC"/>
    <w:rsid w:val="3034064C"/>
    <w:rsid w:val="30345AC5"/>
    <w:rsid w:val="303A67F4"/>
    <w:rsid w:val="303C60CD"/>
    <w:rsid w:val="30461FAA"/>
    <w:rsid w:val="304B465A"/>
    <w:rsid w:val="305F2D07"/>
    <w:rsid w:val="306326A1"/>
    <w:rsid w:val="306B45E7"/>
    <w:rsid w:val="30777BA8"/>
    <w:rsid w:val="30796128"/>
    <w:rsid w:val="30874A80"/>
    <w:rsid w:val="308B2230"/>
    <w:rsid w:val="30956826"/>
    <w:rsid w:val="309927EB"/>
    <w:rsid w:val="309A69AA"/>
    <w:rsid w:val="309B4CBC"/>
    <w:rsid w:val="309E7671"/>
    <w:rsid w:val="30A26815"/>
    <w:rsid w:val="30A338F5"/>
    <w:rsid w:val="30A6727E"/>
    <w:rsid w:val="30A73838"/>
    <w:rsid w:val="30AC2C08"/>
    <w:rsid w:val="30AF3D0C"/>
    <w:rsid w:val="30B9089F"/>
    <w:rsid w:val="30BD0BCE"/>
    <w:rsid w:val="30BD2FFB"/>
    <w:rsid w:val="30BE50CD"/>
    <w:rsid w:val="30C8016D"/>
    <w:rsid w:val="30CF4562"/>
    <w:rsid w:val="30D94684"/>
    <w:rsid w:val="30DD2263"/>
    <w:rsid w:val="30DF1E55"/>
    <w:rsid w:val="30E40514"/>
    <w:rsid w:val="30E57430"/>
    <w:rsid w:val="30EA7A7A"/>
    <w:rsid w:val="30F913DF"/>
    <w:rsid w:val="31006F16"/>
    <w:rsid w:val="31043F66"/>
    <w:rsid w:val="31074D55"/>
    <w:rsid w:val="3112642B"/>
    <w:rsid w:val="311562EC"/>
    <w:rsid w:val="31160E7F"/>
    <w:rsid w:val="311624C1"/>
    <w:rsid w:val="31165308"/>
    <w:rsid w:val="311D695D"/>
    <w:rsid w:val="31450C09"/>
    <w:rsid w:val="314E0391"/>
    <w:rsid w:val="31530AF2"/>
    <w:rsid w:val="315F5FC7"/>
    <w:rsid w:val="31616FE5"/>
    <w:rsid w:val="316E0E1B"/>
    <w:rsid w:val="31721E0B"/>
    <w:rsid w:val="31785ADD"/>
    <w:rsid w:val="317A57AC"/>
    <w:rsid w:val="317E32A3"/>
    <w:rsid w:val="318A6370"/>
    <w:rsid w:val="318F5DB3"/>
    <w:rsid w:val="319D5C34"/>
    <w:rsid w:val="319F0E18"/>
    <w:rsid w:val="31A22101"/>
    <w:rsid w:val="31AB2C1B"/>
    <w:rsid w:val="31B30200"/>
    <w:rsid w:val="31BD0BF4"/>
    <w:rsid w:val="31BD68DA"/>
    <w:rsid w:val="31CF0B91"/>
    <w:rsid w:val="31E155A2"/>
    <w:rsid w:val="31EB6A84"/>
    <w:rsid w:val="31F0605E"/>
    <w:rsid w:val="31FD236D"/>
    <w:rsid w:val="32005795"/>
    <w:rsid w:val="32083D35"/>
    <w:rsid w:val="32093793"/>
    <w:rsid w:val="320B108C"/>
    <w:rsid w:val="320D7653"/>
    <w:rsid w:val="32167BBB"/>
    <w:rsid w:val="321D44FA"/>
    <w:rsid w:val="322A5531"/>
    <w:rsid w:val="32321BEB"/>
    <w:rsid w:val="32351B3E"/>
    <w:rsid w:val="3237359B"/>
    <w:rsid w:val="323B1921"/>
    <w:rsid w:val="325242C4"/>
    <w:rsid w:val="325E066A"/>
    <w:rsid w:val="32620853"/>
    <w:rsid w:val="326B7E91"/>
    <w:rsid w:val="327721C3"/>
    <w:rsid w:val="32855530"/>
    <w:rsid w:val="328579B0"/>
    <w:rsid w:val="328C316C"/>
    <w:rsid w:val="329C7954"/>
    <w:rsid w:val="329F0F16"/>
    <w:rsid w:val="32A7229D"/>
    <w:rsid w:val="32AE667D"/>
    <w:rsid w:val="32B7102B"/>
    <w:rsid w:val="32B9185B"/>
    <w:rsid w:val="32BD7A4B"/>
    <w:rsid w:val="32C03874"/>
    <w:rsid w:val="32C44DF3"/>
    <w:rsid w:val="32C65A00"/>
    <w:rsid w:val="32CE2DF1"/>
    <w:rsid w:val="32CE6677"/>
    <w:rsid w:val="32D32043"/>
    <w:rsid w:val="32D867CA"/>
    <w:rsid w:val="32EB68D3"/>
    <w:rsid w:val="32F317FF"/>
    <w:rsid w:val="32F67B4A"/>
    <w:rsid w:val="331338E1"/>
    <w:rsid w:val="33167610"/>
    <w:rsid w:val="332253D2"/>
    <w:rsid w:val="332F1DB0"/>
    <w:rsid w:val="33347CD7"/>
    <w:rsid w:val="333B0BF5"/>
    <w:rsid w:val="334C4BFE"/>
    <w:rsid w:val="33512BBA"/>
    <w:rsid w:val="3359701A"/>
    <w:rsid w:val="33680696"/>
    <w:rsid w:val="337A4A67"/>
    <w:rsid w:val="339F2397"/>
    <w:rsid w:val="33A03FE1"/>
    <w:rsid w:val="33A25EC0"/>
    <w:rsid w:val="33A330F8"/>
    <w:rsid w:val="33A52101"/>
    <w:rsid w:val="33A75CAD"/>
    <w:rsid w:val="33B61D4D"/>
    <w:rsid w:val="33C42ECA"/>
    <w:rsid w:val="33C5024A"/>
    <w:rsid w:val="33C96E34"/>
    <w:rsid w:val="33D5514C"/>
    <w:rsid w:val="33D66FD3"/>
    <w:rsid w:val="33E11323"/>
    <w:rsid w:val="33E814E6"/>
    <w:rsid w:val="34013554"/>
    <w:rsid w:val="34014D45"/>
    <w:rsid w:val="34027E94"/>
    <w:rsid w:val="340501A8"/>
    <w:rsid w:val="340659C1"/>
    <w:rsid w:val="340C29BC"/>
    <w:rsid w:val="3414100B"/>
    <w:rsid w:val="3416627C"/>
    <w:rsid w:val="341E2281"/>
    <w:rsid w:val="342B1138"/>
    <w:rsid w:val="342B38C6"/>
    <w:rsid w:val="342E5A41"/>
    <w:rsid w:val="342F66CA"/>
    <w:rsid w:val="343D5CF3"/>
    <w:rsid w:val="3441009E"/>
    <w:rsid w:val="34675B85"/>
    <w:rsid w:val="34691D0C"/>
    <w:rsid w:val="34747845"/>
    <w:rsid w:val="34791FE0"/>
    <w:rsid w:val="348164DF"/>
    <w:rsid w:val="34865374"/>
    <w:rsid w:val="348867E6"/>
    <w:rsid w:val="34993B47"/>
    <w:rsid w:val="349F1F54"/>
    <w:rsid w:val="34A3241A"/>
    <w:rsid w:val="34A84C5A"/>
    <w:rsid w:val="34B11368"/>
    <w:rsid w:val="34C23891"/>
    <w:rsid w:val="34CA23EF"/>
    <w:rsid w:val="34CE4702"/>
    <w:rsid w:val="34F30DDF"/>
    <w:rsid w:val="34F90CE7"/>
    <w:rsid w:val="3500692C"/>
    <w:rsid w:val="35011C38"/>
    <w:rsid w:val="350D0C3D"/>
    <w:rsid w:val="352067C8"/>
    <w:rsid w:val="35216127"/>
    <w:rsid w:val="35251700"/>
    <w:rsid w:val="35274675"/>
    <w:rsid w:val="352D1697"/>
    <w:rsid w:val="352D3401"/>
    <w:rsid w:val="353877D6"/>
    <w:rsid w:val="35394404"/>
    <w:rsid w:val="353D07AE"/>
    <w:rsid w:val="353D3231"/>
    <w:rsid w:val="3541284E"/>
    <w:rsid w:val="354A3362"/>
    <w:rsid w:val="354D1FEA"/>
    <w:rsid w:val="354F5D17"/>
    <w:rsid w:val="355436EC"/>
    <w:rsid w:val="355673C6"/>
    <w:rsid w:val="35597700"/>
    <w:rsid w:val="355B42E2"/>
    <w:rsid w:val="355E1F06"/>
    <w:rsid w:val="356248FB"/>
    <w:rsid w:val="35690796"/>
    <w:rsid w:val="357016FC"/>
    <w:rsid w:val="357903F7"/>
    <w:rsid w:val="3583678D"/>
    <w:rsid w:val="35843043"/>
    <w:rsid w:val="35912EFE"/>
    <w:rsid w:val="359B0A44"/>
    <w:rsid w:val="359C4064"/>
    <w:rsid w:val="359E5822"/>
    <w:rsid w:val="35A07629"/>
    <w:rsid w:val="35A317A0"/>
    <w:rsid w:val="35A457B0"/>
    <w:rsid w:val="35B236AC"/>
    <w:rsid w:val="35CE4CCB"/>
    <w:rsid w:val="35D01772"/>
    <w:rsid w:val="35D825FA"/>
    <w:rsid w:val="35DC6B3A"/>
    <w:rsid w:val="35E63728"/>
    <w:rsid w:val="35E75EEE"/>
    <w:rsid w:val="35EA3A88"/>
    <w:rsid w:val="35F339B7"/>
    <w:rsid w:val="35F6005C"/>
    <w:rsid w:val="35F75017"/>
    <w:rsid w:val="36073115"/>
    <w:rsid w:val="3620192F"/>
    <w:rsid w:val="36217B8A"/>
    <w:rsid w:val="36266D60"/>
    <w:rsid w:val="362A1EEA"/>
    <w:rsid w:val="363B2CB1"/>
    <w:rsid w:val="364E0A1F"/>
    <w:rsid w:val="36517A0D"/>
    <w:rsid w:val="365600D8"/>
    <w:rsid w:val="366D6245"/>
    <w:rsid w:val="367132A2"/>
    <w:rsid w:val="36750E4C"/>
    <w:rsid w:val="3686296C"/>
    <w:rsid w:val="368C5C31"/>
    <w:rsid w:val="36A93B11"/>
    <w:rsid w:val="36AA3FE5"/>
    <w:rsid w:val="36AC4127"/>
    <w:rsid w:val="36AF3FF7"/>
    <w:rsid w:val="36B13B60"/>
    <w:rsid w:val="36B606BE"/>
    <w:rsid w:val="36BA1B53"/>
    <w:rsid w:val="36BC3900"/>
    <w:rsid w:val="36C05428"/>
    <w:rsid w:val="36CC33A4"/>
    <w:rsid w:val="36CD1672"/>
    <w:rsid w:val="36D22180"/>
    <w:rsid w:val="36DB1F22"/>
    <w:rsid w:val="36EC6196"/>
    <w:rsid w:val="37017F21"/>
    <w:rsid w:val="37097424"/>
    <w:rsid w:val="370D3CAC"/>
    <w:rsid w:val="371234AC"/>
    <w:rsid w:val="371342DE"/>
    <w:rsid w:val="37150CE4"/>
    <w:rsid w:val="371D553C"/>
    <w:rsid w:val="37241DA0"/>
    <w:rsid w:val="3724772F"/>
    <w:rsid w:val="37262F0C"/>
    <w:rsid w:val="37274586"/>
    <w:rsid w:val="372E592F"/>
    <w:rsid w:val="37316AF1"/>
    <w:rsid w:val="3734417F"/>
    <w:rsid w:val="37402EFB"/>
    <w:rsid w:val="374D0B92"/>
    <w:rsid w:val="374F15F8"/>
    <w:rsid w:val="374F63FE"/>
    <w:rsid w:val="375678E1"/>
    <w:rsid w:val="37694623"/>
    <w:rsid w:val="37754104"/>
    <w:rsid w:val="37850E9E"/>
    <w:rsid w:val="379504A7"/>
    <w:rsid w:val="379A15BB"/>
    <w:rsid w:val="37A14F49"/>
    <w:rsid w:val="37A64CEC"/>
    <w:rsid w:val="37A95F28"/>
    <w:rsid w:val="37AA6282"/>
    <w:rsid w:val="37B146C2"/>
    <w:rsid w:val="37C42344"/>
    <w:rsid w:val="37C90B83"/>
    <w:rsid w:val="37CB1512"/>
    <w:rsid w:val="37D76AD1"/>
    <w:rsid w:val="37DC42A3"/>
    <w:rsid w:val="37DF5A6E"/>
    <w:rsid w:val="37E23FE2"/>
    <w:rsid w:val="37E37BC3"/>
    <w:rsid w:val="37F046AF"/>
    <w:rsid w:val="37F711B1"/>
    <w:rsid w:val="37F905F3"/>
    <w:rsid w:val="37FA0C0D"/>
    <w:rsid w:val="37FA5A7B"/>
    <w:rsid w:val="381C2C44"/>
    <w:rsid w:val="382458FC"/>
    <w:rsid w:val="382729D5"/>
    <w:rsid w:val="38294810"/>
    <w:rsid w:val="382F3E55"/>
    <w:rsid w:val="383303B2"/>
    <w:rsid w:val="38335485"/>
    <w:rsid w:val="38344E51"/>
    <w:rsid w:val="384F0E62"/>
    <w:rsid w:val="385174E5"/>
    <w:rsid w:val="38523D56"/>
    <w:rsid w:val="38591C77"/>
    <w:rsid w:val="385D38AC"/>
    <w:rsid w:val="385F1712"/>
    <w:rsid w:val="386B5D1F"/>
    <w:rsid w:val="386D08F1"/>
    <w:rsid w:val="38773A25"/>
    <w:rsid w:val="38957BA7"/>
    <w:rsid w:val="38962125"/>
    <w:rsid w:val="38965964"/>
    <w:rsid w:val="38A5432F"/>
    <w:rsid w:val="38B3345E"/>
    <w:rsid w:val="38B75A63"/>
    <w:rsid w:val="38CE6C87"/>
    <w:rsid w:val="38D019A4"/>
    <w:rsid w:val="38D259D6"/>
    <w:rsid w:val="38DA4A2A"/>
    <w:rsid w:val="38DB5A1B"/>
    <w:rsid w:val="38DE78EC"/>
    <w:rsid w:val="38DF7615"/>
    <w:rsid w:val="38E14FEF"/>
    <w:rsid w:val="38E20297"/>
    <w:rsid w:val="38F0723F"/>
    <w:rsid w:val="38F210CC"/>
    <w:rsid w:val="38F5098C"/>
    <w:rsid w:val="38FA5B95"/>
    <w:rsid w:val="38FE59EF"/>
    <w:rsid w:val="38FF0BF9"/>
    <w:rsid w:val="38FFE9D3"/>
    <w:rsid w:val="39047F5B"/>
    <w:rsid w:val="390A4F6A"/>
    <w:rsid w:val="39117EBD"/>
    <w:rsid w:val="3914069A"/>
    <w:rsid w:val="39140B60"/>
    <w:rsid w:val="391579FB"/>
    <w:rsid w:val="392229AC"/>
    <w:rsid w:val="392253BD"/>
    <w:rsid w:val="39255F21"/>
    <w:rsid w:val="3926397A"/>
    <w:rsid w:val="392B3C0C"/>
    <w:rsid w:val="392D4E34"/>
    <w:rsid w:val="393677BA"/>
    <w:rsid w:val="39396EB7"/>
    <w:rsid w:val="393A243F"/>
    <w:rsid w:val="393E680F"/>
    <w:rsid w:val="3942743C"/>
    <w:rsid w:val="394617C2"/>
    <w:rsid w:val="394A11E1"/>
    <w:rsid w:val="394D01D7"/>
    <w:rsid w:val="395B470A"/>
    <w:rsid w:val="395C264D"/>
    <w:rsid w:val="395C394B"/>
    <w:rsid w:val="39701D8F"/>
    <w:rsid w:val="39773B7D"/>
    <w:rsid w:val="39794E35"/>
    <w:rsid w:val="397A1735"/>
    <w:rsid w:val="397C0F5B"/>
    <w:rsid w:val="397F5DBA"/>
    <w:rsid w:val="39867D0F"/>
    <w:rsid w:val="399D284F"/>
    <w:rsid w:val="39A02474"/>
    <w:rsid w:val="39A073B9"/>
    <w:rsid w:val="39A53ECA"/>
    <w:rsid w:val="39AA38BF"/>
    <w:rsid w:val="39AE0A25"/>
    <w:rsid w:val="39B10EBB"/>
    <w:rsid w:val="39B80800"/>
    <w:rsid w:val="39BC1CD1"/>
    <w:rsid w:val="39BD67F8"/>
    <w:rsid w:val="39BE20EC"/>
    <w:rsid w:val="39BE3585"/>
    <w:rsid w:val="39C240A0"/>
    <w:rsid w:val="39C547D9"/>
    <w:rsid w:val="39C868C5"/>
    <w:rsid w:val="39D225B7"/>
    <w:rsid w:val="39D735C1"/>
    <w:rsid w:val="39D82302"/>
    <w:rsid w:val="39D82D1D"/>
    <w:rsid w:val="39E47822"/>
    <w:rsid w:val="39EC5275"/>
    <w:rsid w:val="39F13D28"/>
    <w:rsid w:val="39FB265F"/>
    <w:rsid w:val="3A020B68"/>
    <w:rsid w:val="3A051944"/>
    <w:rsid w:val="3A063958"/>
    <w:rsid w:val="3A070D1A"/>
    <w:rsid w:val="3A0B1968"/>
    <w:rsid w:val="3A0B38AA"/>
    <w:rsid w:val="3A164C99"/>
    <w:rsid w:val="3A165087"/>
    <w:rsid w:val="3A1A7A23"/>
    <w:rsid w:val="3A224DD3"/>
    <w:rsid w:val="3A292740"/>
    <w:rsid w:val="3A2C0F2C"/>
    <w:rsid w:val="3A300A32"/>
    <w:rsid w:val="3A361601"/>
    <w:rsid w:val="3A4211CB"/>
    <w:rsid w:val="3A595F7F"/>
    <w:rsid w:val="3A5C05E2"/>
    <w:rsid w:val="3A5C44B1"/>
    <w:rsid w:val="3A5D6350"/>
    <w:rsid w:val="3A684FF4"/>
    <w:rsid w:val="3A6C61FC"/>
    <w:rsid w:val="3A6F388C"/>
    <w:rsid w:val="3A7114B8"/>
    <w:rsid w:val="3A74152B"/>
    <w:rsid w:val="3A7640EA"/>
    <w:rsid w:val="3A782673"/>
    <w:rsid w:val="3A7E1292"/>
    <w:rsid w:val="3A7E7E4C"/>
    <w:rsid w:val="3A82459C"/>
    <w:rsid w:val="3A826454"/>
    <w:rsid w:val="3A8C6CCF"/>
    <w:rsid w:val="3A8D6FFE"/>
    <w:rsid w:val="3A8E0559"/>
    <w:rsid w:val="3A905190"/>
    <w:rsid w:val="3AA337B0"/>
    <w:rsid w:val="3AA72477"/>
    <w:rsid w:val="3AB5664B"/>
    <w:rsid w:val="3AC40A02"/>
    <w:rsid w:val="3AC613CB"/>
    <w:rsid w:val="3AC73DDA"/>
    <w:rsid w:val="3ADF437E"/>
    <w:rsid w:val="3AE960BF"/>
    <w:rsid w:val="3AEB327E"/>
    <w:rsid w:val="3AFC1993"/>
    <w:rsid w:val="3AFC6BB9"/>
    <w:rsid w:val="3B0231D9"/>
    <w:rsid w:val="3B067F4E"/>
    <w:rsid w:val="3B0D176F"/>
    <w:rsid w:val="3B1305E9"/>
    <w:rsid w:val="3B1E562D"/>
    <w:rsid w:val="3B263123"/>
    <w:rsid w:val="3B2834F7"/>
    <w:rsid w:val="3B361E0C"/>
    <w:rsid w:val="3B3D3118"/>
    <w:rsid w:val="3B3F44A7"/>
    <w:rsid w:val="3B4671A2"/>
    <w:rsid w:val="3B475351"/>
    <w:rsid w:val="3B4E3847"/>
    <w:rsid w:val="3B4F5D55"/>
    <w:rsid w:val="3B5051F8"/>
    <w:rsid w:val="3B5556D7"/>
    <w:rsid w:val="3B5B412A"/>
    <w:rsid w:val="3B5E6995"/>
    <w:rsid w:val="3B6400EA"/>
    <w:rsid w:val="3B687AC0"/>
    <w:rsid w:val="3B6B17FF"/>
    <w:rsid w:val="3B7544BA"/>
    <w:rsid w:val="3B7D22C6"/>
    <w:rsid w:val="3B7D4B29"/>
    <w:rsid w:val="3B86432E"/>
    <w:rsid w:val="3B9615D5"/>
    <w:rsid w:val="3B974779"/>
    <w:rsid w:val="3B996C7A"/>
    <w:rsid w:val="3B9E7343"/>
    <w:rsid w:val="3BA22A5B"/>
    <w:rsid w:val="3BA52061"/>
    <w:rsid w:val="3BA9072F"/>
    <w:rsid w:val="3BAB275A"/>
    <w:rsid w:val="3BB36259"/>
    <w:rsid w:val="3BB5376F"/>
    <w:rsid w:val="3BB96E80"/>
    <w:rsid w:val="3BBD69B9"/>
    <w:rsid w:val="3BBE741B"/>
    <w:rsid w:val="3BC12EE8"/>
    <w:rsid w:val="3BCB43EF"/>
    <w:rsid w:val="3BD27691"/>
    <w:rsid w:val="3BDF2B02"/>
    <w:rsid w:val="3BF85A5C"/>
    <w:rsid w:val="3BFA27E2"/>
    <w:rsid w:val="3C034FB8"/>
    <w:rsid w:val="3C06086D"/>
    <w:rsid w:val="3C0B391C"/>
    <w:rsid w:val="3C0E4E82"/>
    <w:rsid w:val="3C0F02A4"/>
    <w:rsid w:val="3C145433"/>
    <w:rsid w:val="3C1753C1"/>
    <w:rsid w:val="3C1A7D35"/>
    <w:rsid w:val="3C1E08D4"/>
    <w:rsid w:val="3C235D12"/>
    <w:rsid w:val="3C291A46"/>
    <w:rsid w:val="3C321DB8"/>
    <w:rsid w:val="3C330F61"/>
    <w:rsid w:val="3C355916"/>
    <w:rsid w:val="3C475D58"/>
    <w:rsid w:val="3C4A7A90"/>
    <w:rsid w:val="3C50175B"/>
    <w:rsid w:val="3C517D0D"/>
    <w:rsid w:val="3C5410C8"/>
    <w:rsid w:val="3C557127"/>
    <w:rsid w:val="3C5E6590"/>
    <w:rsid w:val="3C6B6A63"/>
    <w:rsid w:val="3C6C07F3"/>
    <w:rsid w:val="3C70033C"/>
    <w:rsid w:val="3C7129B6"/>
    <w:rsid w:val="3C763DA4"/>
    <w:rsid w:val="3C7D5B34"/>
    <w:rsid w:val="3C7E7EB9"/>
    <w:rsid w:val="3C9760C5"/>
    <w:rsid w:val="3C984482"/>
    <w:rsid w:val="3C9E0AF8"/>
    <w:rsid w:val="3CA37F62"/>
    <w:rsid w:val="3CAF1307"/>
    <w:rsid w:val="3CAF71D3"/>
    <w:rsid w:val="3CB31CB8"/>
    <w:rsid w:val="3CBE181B"/>
    <w:rsid w:val="3CC42C0C"/>
    <w:rsid w:val="3CC87926"/>
    <w:rsid w:val="3CC92302"/>
    <w:rsid w:val="3CD60D50"/>
    <w:rsid w:val="3CE85B62"/>
    <w:rsid w:val="3CF738CA"/>
    <w:rsid w:val="3CFA61B1"/>
    <w:rsid w:val="3D2110F1"/>
    <w:rsid w:val="3D250D18"/>
    <w:rsid w:val="3D356DE3"/>
    <w:rsid w:val="3D3A5DDC"/>
    <w:rsid w:val="3D3F0C2F"/>
    <w:rsid w:val="3D417DF2"/>
    <w:rsid w:val="3D4837F2"/>
    <w:rsid w:val="3D4D77A0"/>
    <w:rsid w:val="3D4F618E"/>
    <w:rsid w:val="3D5309E3"/>
    <w:rsid w:val="3D61319E"/>
    <w:rsid w:val="3D6843F5"/>
    <w:rsid w:val="3D69134E"/>
    <w:rsid w:val="3D6965B4"/>
    <w:rsid w:val="3D6B765E"/>
    <w:rsid w:val="3D73041F"/>
    <w:rsid w:val="3D796C9E"/>
    <w:rsid w:val="3D7B4BE4"/>
    <w:rsid w:val="3D8615E2"/>
    <w:rsid w:val="3D8706A1"/>
    <w:rsid w:val="3D9334FF"/>
    <w:rsid w:val="3D9422CA"/>
    <w:rsid w:val="3D96046A"/>
    <w:rsid w:val="3D9C6AB7"/>
    <w:rsid w:val="3D9F15F1"/>
    <w:rsid w:val="3DA019FE"/>
    <w:rsid w:val="3DA66EC9"/>
    <w:rsid w:val="3DAA4418"/>
    <w:rsid w:val="3DBD3B4A"/>
    <w:rsid w:val="3DC119F1"/>
    <w:rsid w:val="3DC37750"/>
    <w:rsid w:val="3DC54C9E"/>
    <w:rsid w:val="3DEC2BCA"/>
    <w:rsid w:val="3DEF5BBE"/>
    <w:rsid w:val="3DF079B9"/>
    <w:rsid w:val="3DF50FC1"/>
    <w:rsid w:val="3DFC538A"/>
    <w:rsid w:val="3E01612D"/>
    <w:rsid w:val="3E063FD1"/>
    <w:rsid w:val="3E071D9A"/>
    <w:rsid w:val="3E096D1E"/>
    <w:rsid w:val="3E1B7AF7"/>
    <w:rsid w:val="3E237E38"/>
    <w:rsid w:val="3E2C7B29"/>
    <w:rsid w:val="3E2E28D6"/>
    <w:rsid w:val="3E3728AA"/>
    <w:rsid w:val="3E3A6D43"/>
    <w:rsid w:val="3E3C468F"/>
    <w:rsid w:val="3E3D6019"/>
    <w:rsid w:val="3E3F119F"/>
    <w:rsid w:val="3E442503"/>
    <w:rsid w:val="3E47643A"/>
    <w:rsid w:val="3E4923CA"/>
    <w:rsid w:val="3E4E7B33"/>
    <w:rsid w:val="3E5232C3"/>
    <w:rsid w:val="3E551345"/>
    <w:rsid w:val="3E5626F2"/>
    <w:rsid w:val="3E58474F"/>
    <w:rsid w:val="3E6A1FB7"/>
    <w:rsid w:val="3E6B5D62"/>
    <w:rsid w:val="3E6E0D57"/>
    <w:rsid w:val="3E6E1414"/>
    <w:rsid w:val="3E766DA5"/>
    <w:rsid w:val="3E767C7A"/>
    <w:rsid w:val="3E7A5493"/>
    <w:rsid w:val="3E813F5F"/>
    <w:rsid w:val="3E8637A6"/>
    <w:rsid w:val="3E973FC1"/>
    <w:rsid w:val="3EA10428"/>
    <w:rsid w:val="3EA4797A"/>
    <w:rsid w:val="3EB72D79"/>
    <w:rsid w:val="3EB83A6F"/>
    <w:rsid w:val="3EBA1353"/>
    <w:rsid w:val="3EBC6DF2"/>
    <w:rsid w:val="3EBD2E84"/>
    <w:rsid w:val="3EBE35D1"/>
    <w:rsid w:val="3ED35EA5"/>
    <w:rsid w:val="3EDA3212"/>
    <w:rsid w:val="3EDF79EF"/>
    <w:rsid w:val="3EE7460D"/>
    <w:rsid w:val="3EEF4C7E"/>
    <w:rsid w:val="3F0F7033"/>
    <w:rsid w:val="3F1E2615"/>
    <w:rsid w:val="3F1F4419"/>
    <w:rsid w:val="3F2057AF"/>
    <w:rsid w:val="3F250266"/>
    <w:rsid w:val="3F29398A"/>
    <w:rsid w:val="3F2C335E"/>
    <w:rsid w:val="3F2F2302"/>
    <w:rsid w:val="3F33431F"/>
    <w:rsid w:val="3F334ADA"/>
    <w:rsid w:val="3F3B1639"/>
    <w:rsid w:val="3F40391D"/>
    <w:rsid w:val="3F47659D"/>
    <w:rsid w:val="3F4B4992"/>
    <w:rsid w:val="3F5675F4"/>
    <w:rsid w:val="3F581628"/>
    <w:rsid w:val="3F680422"/>
    <w:rsid w:val="3F6B3D2C"/>
    <w:rsid w:val="3F821A48"/>
    <w:rsid w:val="3F934CA4"/>
    <w:rsid w:val="3F9419BD"/>
    <w:rsid w:val="3F962587"/>
    <w:rsid w:val="3F974EDB"/>
    <w:rsid w:val="3FA36A9A"/>
    <w:rsid w:val="3FA71E6D"/>
    <w:rsid w:val="3FA757A3"/>
    <w:rsid w:val="3FAD3F34"/>
    <w:rsid w:val="3FB625CD"/>
    <w:rsid w:val="3FBD6A90"/>
    <w:rsid w:val="3FC13CB8"/>
    <w:rsid w:val="3FC53100"/>
    <w:rsid w:val="3FC540F6"/>
    <w:rsid w:val="3FC63B17"/>
    <w:rsid w:val="3FCE2E42"/>
    <w:rsid w:val="3FD3426D"/>
    <w:rsid w:val="3FDB3DB8"/>
    <w:rsid w:val="3FEE48C6"/>
    <w:rsid w:val="3FF0769B"/>
    <w:rsid w:val="3FF14D96"/>
    <w:rsid w:val="3FF820F3"/>
    <w:rsid w:val="40094BF8"/>
    <w:rsid w:val="40235A1E"/>
    <w:rsid w:val="40270416"/>
    <w:rsid w:val="402D799D"/>
    <w:rsid w:val="403D1345"/>
    <w:rsid w:val="404851E2"/>
    <w:rsid w:val="40555CC1"/>
    <w:rsid w:val="40582D76"/>
    <w:rsid w:val="405D4194"/>
    <w:rsid w:val="406319DE"/>
    <w:rsid w:val="4064551B"/>
    <w:rsid w:val="406A591F"/>
    <w:rsid w:val="406C1CA9"/>
    <w:rsid w:val="406F1DE8"/>
    <w:rsid w:val="40724465"/>
    <w:rsid w:val="407D17DC"/>
    <w:rsid w:val="407E552A"/>
    <w:rsid w:val="408B20C7"/>
    <w:rsid w:val="408B4F3D"/>
    <w:rsid w:val="408C1B78"/>
    <w:rsid w:val="409764CE"/>
    <w:rsid w:val="40A56013"/>
    <w:rsid w:val="40AE055B"/>
    <w:rsid w:val="40B6274A"/>
    <w:rsid w:val="40B91C95"/>
    <w:rsid w:val="40BA0AAF"/>
    <w:rsid w:val="40BE04F0"/>
    <w:rsid w:val="40C67074"/>
    <w:rsid w:val="40CF0DB6"/>
    <w:rsid w:val="40DE0423"/>
    <w:rsid w:val="40E06C18"/>
    <w:rsid w:val="40E07C0F"/>
    <w:rsid w:val="40E44E03"/>
    <w:rsid w:val="40F17074"/>
    <w:rsid w:val="40F2595D"/>
    <w:rsid w:val="40FC1F19"/>
    <w:rsid w:val="41056B5C"/>
    <w:rsid w:val="410C6DFE"/>
    <w:rsid w:val="41147F42"/>
    <w:rsid w:val="411755AB"/>
    <w:rsid w:val="411A058F"/>
    <w:rsid w:val="411B4AD5"/>
    <w:rsid w:val="41224306"/>
    <w:rsid w:val="41293E34"/>
    <w:rsid w:val="412E131E"/>
    <w:rsid w:val="41333B94"/>
    <w:rsid w:val="414004A4"/>
    <w:rsid w:val="41454DB6"/>
    <w:rsid w:val="41491A69"/>
    <w:rsid w:val="415B3AEB"/>
    <w:rsid w:val="416042BB"/>
    <w:rsid w:val="41633413"/>
    <w:rsid w:val="41696E1F"/>
    <w:rsid w:val="416B0644"/>
    <w:rsid w:val="416B081F"/>
    <w:rsid w:val="416C6094"/>
    <w:rsid w:val="416F3038"/>
    <w:rsid w:val="41723D7C"/>
    <w:rsid w:val="417629EE"/>
    <w:rsid w:val="417C3835"/>
    <w:rsid w:val="41814704"/>
    <w:rsid w:val="41886B5D"/>
    <w:rsid w:val="418D4946"/>
    <w:rsid w:val="418F4669"/>
    <w:rsid w:val="41916776"/>
    <w:rsid w:val="419253D3"/>
    <w:rsid w:val="419E6889"/>
    <w:rsid w:val="419E7BF0"/>
    <w:rsid w:val="41A67E99"/>
    <w:rsid w:val="41A84D23"/>
    <w:rsid w:val="41AC2305"/>
    <w:rsid w:val="41BD3B19"/>
    <w:rsid w:val="41BD5252"/>
    <w:rsid w:val="41C42ACA"/>
    <w:rsid w:val="41C512C7"/>
    <w:rsid w:val="41C63183"/>
    <w:rsid w:val="41CD12DF"/>
    <w:rsid w:val="41E35BBA"/>
    <w:rsid w:val="41E4373C"/>
    <w:rsid w:val="41F0066B"/>
    <w:rsid w:val="41FC26D5"/>
    <w:rsid w:val="42021AEF"/>
    <w:rsid w:val="42140778"/>
    <w:rsid w:val="42150BBA"/>
    <w:rsid w:val="421E5590"/>
    <w:rsid w:val="421E5B57"/>
    <w:rsid w:val="42285B5C"/>
    <w:rsid w:val="422A1A76"/>
    <w:rsid w:val="4239120C"/>
    <w:rsid w:val="423A3416"/>
    <w:rsid w:val="423A582E"/>
    <w:rsid w:val="424A4812"/>
    <w:rsid w:val="424C44BC"/>
    <w:rsid w:val="42506E9D"/>
    <w:rsid w:val="42554D1D"/>
    <w:rsid w:val="42556818"/>
    <w:rsid w:val="42583354"/>
    <w:rsid w:val="42685541"/>
    <w:rsid w:val="427A2E10"/>
    <w:rsid w:val="427A7453"/>
    <w:rsid w:val="42862A6E"/>
    <w:rsid w:val="42872353"/>
    <w:rsid w:val="428B2F7E"/>
    <w:rsid w:val="42A46372"/>
    <w:rsid w:val="42A64D22"/>
    <w:rsid w:val="42A65488"/>
    <w:rsid w:val="42A710F5"/>
    <w:rsid w:val="42A8492E"/>
    <w:rsid w:val="42AB42BF"/>
    <w:rsid w:val="42B94560"/>
    <w:rsid w:val="42BE5BFF"/>
    <w:rsid w:val="42C43EE6"/>
    <w:rsid w:val="42CC6449"/>
    <w:rsid w:val="42CE701B"/>
    <w:rsid w:val="42D04ECF"/>
    <w:rsid w:val="42D84909"/>
    <w:rsid w:val="42D85DB7"/>
    <w:rsid w:val="42E354EC"/>
    <w:rsid w:val="42E832DE"/>
    <w:rsid w:val="42F82128"/>
    <w:rsid w:val="42FB7E7F"/>
    <w:rsid w:val="430C1D48"/>
    <w:rsid w:val="431959A0"/>
    <w:rsid w:val="431E6AF3"/>
    <w:rsid w:val="43205C7F"/>
    <w:rsid w:val="43257016"/>
    <w:rsid w:val="433665A7"/>
    <w:rsid w:val="433A363E"/>
    <w:rsid w:val="433D2C1C"/>
    <w:rsid w:val="43413B7B"/>
    <w:rsid w:val="43524555"/>
    <w:rsid w:val="43640F70"/>
    <w:rsid w:val="436A6A1E"/>
    <w:rsid w:val="436E51DA"/>
    <w:rsid w:val="438A7147"/>
    <w:rsid w:val="43904018"/>
    <w:rsid w:val="43922D92"/>
    <w:rsid w:val="439C6947"/>
    <w:rsid w:val="43A071B3"/>
    <w:rsid w:val="43B440EE"/>
    <w:rsid w:val="43B64DA6"/>
    <w:rsid w:val="43B7275A"/>
    <w:rsid w:val="43BA2EBB"/>
    <w:rsid w:val="43C4213D"/>
    <w:rsid w:val="43C94826"/>
    <w:rsid w:val="43CC6F15"/>
    <w:rsid w:val="43DB704C"/>
    <w:rsid w:val="43DD2C11"/>
    <w:rsid w:val="43E244E9"/>
    <w:rsid w:val="43F34341"/>
    <w:rsid w:val="43FE33A9"/>
    <w:rsid w:val="440421E6"/>
    <w:rsid w:val="441032A4"/>
    <w:rsid w:val="441736D2"/>
    <w:rsid w:val="4418705A"/>
    <w:rsid w:val="44215C80"/>
    <w:rsid w:val="442723BC"/>
    <w:rsid w:val="442C67E6"/>
    <w:rsid w:val="44313172"/>
    <w:rsid w:val="4432125A"/>
    <w:rsid w:val="44416F13"/>
    <w:rsid w:val="44444E1E"/>
    <w:rsid w:val="444A5829"/>
    <w:rsid w:val="44511364"/>
    <w:rsid w:val="445116BB"/>
    <w:rsid w:val="44516F3D"/>
    <w:rsid w:val="44591E98"/>
    <w:rsid w:val="445C01E0"/>
    <w:rsid w:val="4466573F"/>
    <w:rsid w:val="446D078E"/>
    <w:rsid w:val="446D757E"/>
    <w:rsid w:val="4471135F"/>
    <w:rsid w:val="44762A61"/>
    <w:rsid w:val="44783C36"/>
    <w:rsid w:val="447F0AD5"/>
    <w:rsid w:val="448F1747"/>
    <w:rsid w:val="44960266"/>
    <w:rsid w:val="44983063"/>
    <w:rsid w:val="44A04F4D"/>
    <w:rsid w:val="44AB4AD4"/>
    <w:rsid w:val="44B1329D"/>
    <w:rsid w:val="44B41078"/>
    <w:rsid w:val="44B66E8A"/>
    <w:rsid w:val="44C11BD7"/>
    <w:rsid w:val="44C17F4F"/>
    <w:rsid w:val="44C4348A"/>
    <w:rsid w:val="44C517F1"/>
    <w:rsid w:val="44C70D28"/>
    <w:rsid w:val="44CC49A1"/>
    <w:rsid w:val="44D526F7"/>
    <w:rsid w:val="44D54EB1"/>
    <w:rsid w:val="44D74364"/>
    <w:rsid w:val="44DF740A"/>
    <w:rsid w:val="44E3053F"/>
    <w:rsid w:val="44E31CA5"/>
    <w:rsid w:val="44E46682"/>
    <w:rsid w:val="44E95CA8"/>
    <w:rsid w:val="44EE3D02"/>
    <w:rsid w:val="44F519C9"/>
    <w:rsid w:val="44F65A8A"/>
    <w:rsid w:val="44FB008F"/>
    <w:rsid w:val="44FC15E3"/>
    <w:rsid w:val="44FE3AD0"/>
    <w:rsid w:val="450C2611"/>
    <w:rsid w:val="45104D15"/>
    <w:rsid w:val="45184270"/>
    <w:rsid w:val="45280E7E"/>
    <w:rsid w:val="452E1C3D"/>
    <w:rsid w:val="452F60B6"/>
    <w:rsid w:val="453C0CF4"/>
    <w:rsid w:val="453E3DBF"/>
    <w:rsid w:val="45496F5A"/>
    <w:rsid w:val="454E45B6"/>
    <w:rsid w:val="4550285E"/>
    <w:rsid w:val="45660800"/>
    <w:rsid w:val="4568423C"/>
    <w:rsid w:val="45694F1A"/>
    <w:rsid w:val="45785484"/>
    <w:rsid w:val="4578691E"/>
    <w:rsid w:val="45812757"/>
    <w:rsid w:val="4585414F"/>
    <w:rsid w:val="45856D24"/>
    <w:rsid w:val="4586017D"/>
    <w:rsid w:val="458B11F4"/>
    <w:rsid w:val="458D0DD0"/>
    <w:rsid w:val="458E6E21"/>
    <w:rsid w:val="45920303"/>
    <w:rsid w:val="45941A86"/>
    <w:rsid w:val="45A12650"/>
    <w:rsid w:val="45B02047"/>
    <w:rsid w:val="45B31CCF"/>
    <w:rsid w:val="45B718E4"/>
    <w:rsid w:val="45CA2B79"/>
    <w:rsid w:val="45CD6157"/>
    <w:rsid w:val="45CF6284"/>
    <w:rsid w:val="45D162FE"/>
    <w:rsid w:val="45F00E17"/>
    <w:rsid w:val="45F6736F"/>
    <w:rsid w:val="45FC0C31"/>
    <w:rsid w:val="45FC59F2"/>
    <w:rsid w:val="46076482"/>
    <w:rsid w:val="460A3E12"/>
    <w:rsid w:val="460C4392"/>
    <w:rsid w:val="4612311C"/>
    <w:rsid w:val="461D4BCF"/>
    <w:rsid w:val="461F5BF5"/>
    <w:rsid w:val="462117F4"/>
    <w:rsid w:val="46262D84"/>
    <w:rsid w:val="462A474C"/>
    <w:rsid w:val="462C7DCA"/>
    <w:rsid w:val="462E6873"/>
    <w:rsid w:val="4631154C"/>
    <w:rsid w:val="46342A38"/>
    <w:rsid w:val="46355262"/>
    <w:rsid w:val="463E0388"/>
    <w:rsid w:val="464030A9"/>
    <w:rsid w:val="46406F6B"/>
    <w:rsid w:val="464D6F6F"/>
    <w:rsid w:val="464E3832"/>
    <w:rsid w:val="464F4EC7"/>
    <w:rsid w:val="465702BF"/>
    <w:rsid w:val="46572977"/>
    <w:rsid w:val="46586A7C"/>
    <w:rsid w:val="465B524A"/>
    <w:rsid w:val="466005E1"/>
    <w:rsid w:val="46611681"/>
    <w:rsid w:val="466518EA"/>
    <w:rsid w:val="466977C9"/>
    <w:rsid w:val="466B2963"/>
    <w:rsid w:val="466B51E7"/>
    <w:rsid w:val="466C6ACE"/>
    <w:rsid w:val="466F234F"/>
    <w:rsid w:val="467047C7"/>
    <w:rsid w:val="467119FD"/>
    <w:rsid w:val="467A6E56"/>
    <w:rsid w:val="467B4E0D"/>
    <w:rsid w:val="469626CC"/>
    <w:rsid w:val="46994237"/>
    <w:rsid w:val="469B1721"/>
    <w:rsid w:val="46A10FE4"/>
    <w:rsid w:val="46A41925"/>
    <w:rsid w:val="46AA0A78"/>
    <w:rsid w:val="46AF0B49"/>
    <w:rsid w:val="46B0629A"/>
    <w:rsid w:val="46B55A79"/>
    <w:rsid w:val="46B64789"/>
    <w:rsid w:val="46CA3D8F"/>
    <w:rsid w:val="46D11EDE"/>
    <w:rsid w:val="46D42941"/>
    <w:rsid w:val="46D562DC"/>
    <w:rsid w:val="46D65EBA"/>
    <w:rsid w:val="46D74DAB"/>
    <w:rsid w:val="46DE0B3F"/>
    <w:rsid w:val="46DE28A9"/>
    <w:rsid w:val="46DE7056"/>
    <w:rsid w:val="46F31F04"/>
    <w:rsid w:val="46F45A75"/>
    <w:rsid w:val="46F90EF0"/>
    <w:rsid w:val="46FE07D4"/>
    <w:rsid w:val="4703731B"/>
    <w:rsid w:val="470566EF"/>
    <w:rsid w:val="470B3E0F"/>
    <w:rsid w:val="470F1721"/>
    <w:rsid w:val="471C5027"/>
    <w:rsid w:val="47234C01"/>
    <w:rsid w:val="47236DA1"/>
    <w:rsid w:val="47272726"/>
    <w:rsid w:val="47301F42"/>
    <w:rsid w:val="473320A5"/>
    <w:rsid w:val="47382BE9"/>
    <w:rsid w:val="47422065"/>
    <w:rsid w:val="474661FE"/>
    <w:rsid w:val="474C2BDA"/>
    <w:rsid w:val="475705C8"/>
    <w:rsid w:val="475D5B7C"/>
    <w:rsid w:val="475E2CBA"/>
    <w:rsid w:val="47661C07"/>
    <w:rsid w:val="477603B4"/>
    <w:rsid w:val="477C1F7B"/>
    <w:rsid w:val="477E7DFD"/>
    <w:rsid w:val="478140BA"/>
    <w:rsid w:val="478B36BC"/>
    <w:rsid w:val="479272E6"/>
    <w:rsid w:val="479279DF"/>
    <w:rsid w:val="479647D1"/>
    <w:rsid w:val="47A316DE"/>
    <w:rsid w:val="47A53B5A"/>
    <w:rsid w:val="47A84642"/>
    <w:rsid w:val="47B05089"/>
    <w:rsid w:val="47B526BB"/>
    <w:rsid w:val="47BB5E24"/>
    <w:rsid w:val="47BF13AF"/>
    <w:rsid w:val="47C70C5F"/>
    <w:rsid w:val="47CF5E61"/>
    <w:rsid w:val="47D20DB5"/>
    <w:rsid w:val="47E5550D"/>
    <w:rsid w:val="47EA6509"/>
    <w:rsid w:val="47EF159B"/>
    <w:rsid w:val="47F076F5"/>
    <w:rsid w:val="480427DC"/>
    <w:rsid w:val="4810000E"/>
    <w:rsid w:val="48125321"/>
    <w:rsid w:val="48125B63"/>
    <w:rsid w:val="48153D01"/>
    <w:rsid w:val="481E7D87"/>
    <w:rsid w:val="482228A5"/>
    <w:rsid w:val="48243F8E"/>
    <w:rsid w:val="482B6BD9"/>
    <w:rsid w:val="48353491"/>
    <w:rsid w:val="48392F47"/>
    <w:rsid w:val="483D3898"/>
    <w:rsid w:val="484736E0"/>
    <w:rsid w:val="484A4DD7"/>
    <w:rsid w:val="48652B5D"/>
    <w:rsid w:val="4866784F"/>
    <w:rsid w:val="486D572D"/>
    <w:rsid w:val="48705D8B"/>
    <w:rsid w:val="48715B71"/>
    <w:rsid w:val="487648CB"/>
    <w:rsid w:val="487D066B"/>
    <w:rsid w:val="488D58CB"/>
    <w:rsid w:val="48AD2DB2"/>
    <w:rsid w:val="48AE7199"/>
    <w:rsid w:val="48B72188"/>
    <w:rsid w:val="48BC7421"/>
    <w:rsid w:val="48C03058"/>
    <w:rsid w:val="48CA6BC4"/>
    <w:rsid w:val="48CD15D4"/>
    <w:rsid w:val="48D47BC2"/>
    <w:rsid w:val="48E12681"/>
    <w:rsid w:val="48EA76B0"/>
    <w:rsid w:val="49023100"/>
    <w:rsid w:val="490B7FF8"/>
    <w:rsid w:val="490D0C51"/>
    <w:rsid w:val="49256F13"/>
    <w:rsid w:val="49337CF6"/>
    <w:rsid w:val="49436329"/>
    <w:rsid w:val="49473850"/>
    <w:rsid w:val="49482DFE"/>
    <w:rsid w:val="494A0FE3"/>
    <w:rsid w:val="494E17F4"/>
    <w:rsid w:val="494F046A"/>
    <w:rsid w:val="495521F8"/>
    <w:rsid w:val="49565E96"/>
    <w:rsid w:val="49643EEC"/>
    <w:rsid w:val="496F10B6"/>
    <w:rsid w:val="496F489F"/>
    <w:rsid w:val="496F7BAE"/>
    <w:rsid w:val="497C5E18"/>
    <w:rsid w:val="49815A51"/>
    <w:rsid w:val="49862C60"/>
    <w:rsid w:val="498D28B4"/>
    <w:rsid w:val="498D3994"/>
    <w:rsid w:val="498F031D"/>
    <w:rsid w:val="499978B3"/>
    <w:rsid w:val="499F741B"/>
    <w:rsid w:val="49A73BAF"/>
    <w:rsid w:val="49A83292"/>
    <w:rsid w:val="49A91984"/>
    <w:rsid w:val="49A93967"/>
    <w:rsid w:val="49AA465A"/>
    <w:rsid w:val="49B00941"/>
    <w:rsid w:val="49B43FF2"/>
    <w:rsid w:val="49B806C3"/>
    <w:rsid w:val="49B94076"/>
    <w:rsid w:val="49BA69B0"/>
    <w:rsid w:val="49BD6B24"/>
    <w:rsid w:val="49BE2DCD"/>
    <w:rsid w:val="49C70C9B"/>
    <w:rsid w:val="49CA0237"/>
    <w:rsid w:val="49CE43E2"/>
    <w:rsid w:val="49D220AE"/>
    <w:rsid w:val="49D41C4F"/>
    <w:rsid w:val="49D657B2"/>
    <w:rsid w:val="49DF4AD9"/>
    <w:rsid w:val="49E32929"/>
    <w:rsid w:val="49E37524"/>
    <w:rsid w:val="49E37D4C"/>
    <w:rsid w:val="49E60A50"/>
    <w:rsid w:val="49ED54E3"/>
    <w:rsid w:val="49F129F7"/>
    <w:rsid w:val="49FB01AB"/>
    <w:rsid w:val="49FB3249"/>
    <w:rsid w:val="49FC65A5"/>
    <w:rsid w:val="49FD427A"/>
    <w:rsid w:val="4A0111EF"/>
    <w:rsid w:val="4A0133A8"/>
    <w:rsid w:val="4A016790"/>
    <w:rsid w:val="4A135E18"/>
    <w:rsid w:val="4A167F46"/>
    <w:rsid w:val="4A24027C"/>
    <w:rsid w:val="4A256FD9"/>
    <w:rsid w:val="4A26105D"/>
    <w:rsid w:val="4A310276"/>
    <w:rsid w:val="4A340BBE"/>
    <w:rsid w:val="4A3F70F6"/>
    <w:rsid w:val="4A451564"/>
    <w:rsid w:val="4A563F2C"/>
    <w:rsid w:val="4A571149"/>
    <w:rsid w:val="4A651FF5"/>
    <w:rsid w:val="4A701A9C"/>
    <w:rsid w:val="4A7416A0"/>
    <w:rsid w:val="4A7504B4"/>
    <w:rsid w:val="4A8225A0"/>
    <w:rsid w:val="4A8C270D"/>
    <w:rsid w:val="4A8D2C5C"/>
    <w:rsid w:val="4A9D7DB8"/>
    <w:rsid w:val="4A9F2953"/>
    <w:rsid w:val="4AA0458F"/>
    <w:rsid w:val="4AA61ECF"/>
    <w:rsid w:val="4AA71A88"/>
    <w:rsid w:val="4AA73C5B"/>
    <w:rsid w:val="4AA859CE"/>
    <w:rsid w:val="4ABB5C83"/>
    <w:rsid w:val="4ABD1694"/>
    <w:rsid w:val="4ABF0103"/>
    <w:rsid w:val="4AC41771"/>
    <w:rsid w:val="4AC7663A"/>
    <w:rsid w:val="4AD736D6"/>
    <w:rsid w:val="4AD859EC"/>
    <w:rsid w:val="4AE6320C"/>
    <w:rsid w:val="4AEF0508"/>
    <w:rsid w:val="4AF0638F"/>
    <w:rsid w:val="4AF3255F"/>
    <w:rsid w:val="4AF8129C"/>
    <w:rsid w:val="4AF85B33"/>
    <w:rsid w:val="4AFC16B3"/>
    <w:rsid w:val="4AFF25F5"/>
    <w:rsid w:val="4B1E67B0"/>
    <w:rsid w:val="4B25424E"/>
    <w:rsid w:val="4B3041B4"/>
    <w:rsid w:val="4B3A6BC2"/>
    <w:rsid w:val="4B3C7B78"/>
    <w:rsid w:val="4B4D60CB"/>
    <w:rsid w:val="4B5053B2"/>
    <w:rsid w:val="4B525616"/>
    <w:rsid w:val="4B705243"/>
    <w:rsid w:val="4B722FF2"/>
    <w:rsid w:val="4B740665"/>
    <w:rsid w:val="4B870104"/>
    <w:rsid w:val="4B877CD9"/>
    <w:rsid w:val="4B92208C"/>
    <w:rsid w:val="4B9F73F3"/>
    <w:rsid w:val="4BA65EAC"/>
    <w:rsid w:val="4BAB351E"/>
    <w:rsid w:val="4BAD5BF3"/>
    <w:rsid w:val="4BB006E5"/>
    <w:rsid w:val="4BB059A0"/>
    <w:rsid w:val="4BB23C09"/>
    <w:rsid w:val="4BB40B5A"/>
    <w:rsid w:val="4BB5717A"/>
    <w:rsid w:val="4BB86C39"/>
    <w:rsid w:val="4BC402A7"/>
    <w:rsid w:val="4BC544CB"/>
    <w:rsid w:val="4BCB5122"/>
    <w:rsid w:val="4BE31C17"/>
    <w:rsid w:val="4BE866ED"/>
    <w:rsid w:val="4BF50EA7"/>
    <w:rsid w:val="4BFA1E0D"/>
    <w:rsid w:val="4C030FCF"/>
    <w:rsid w:val="4C0659C9"/>
    <w:rsid w:val="4C0F5A9B"/>
    <w:rsid w:val="4C170747"/>
    <w:rsid w:val="4C223E41"/>
    <w:rsid w:val="4C2D2680"/>
    <w:rsid w:val="4C4854D1"/>
    <w:rsid w:val="4C4A4856"/>
    <w:rsid w:val="4C505177"/>
    <w:rsid w:val="4C584337"/>
    <w:rsid w:val="4C5947E7"/>
    <w:rsid w:val="4C5967F8"/>
    <w:rsid w:val="4C5C7E48"/>
    <w:rsid w:val="4C5D198D"/>
    <w:rsid w:val="4C5F7A0B"/>
    <w:rsid w:val="4C641376"/>
    <w:rsid w:val="4C707DE8"/>
    <w:rsid w:val="4C722FAA"/>
    <w:rsid w:val="4C72369F"/>
    <w:rsid w:val="4C735236"/>
    <w:rsid w:val="4C7F2426"/>
    <w:rsid w:val="4C8820DD"/>
    <w:rsid w:val="4C8F0DE9"/>
    <w:rsid w:val="4C963539"/>
    <w:rsid w:val="4CA05C46"/>
    <w:rsid w:val="4CA25753"/>
    <w:rsid w:val="4CAD1839"/>
    <w:rsid w:val="4CAE58AE"/>
    <w:rsid w:val="4CB32B27"/>
    <w:rsid w:val="4CB76C4F"/>
    <w:rsid w:val="4CBD796F"/>
    <w:rsid w:val="4CC13489"/>
    <w:rsid w:val="4CC575B5"/>
    <w:rsid w:val="4CC81B0D"/>
    <w:rsid w:val="4CC85671"/>
    <w:rsid w:val="4CD859E2"/>
    <w:rsid w:val="4CDC7533"/>
    <w:rsid w:val="4CE408C7"/>
    <w:rsid w:val="4CEB650D"/>
    <w:rsid w:val="4CF32D42"/>
    <w:rsid w:val="4CF36B85"/>
    <w:rsid w:val="4CF82924"/>
    <w:rsid w:val="4CFB123B"/>
    <w:rsid w:val="4CFC1A09"/>
    <w:rsid w:val="4D00374B"/>
    <w:rsid w:val="4D0551D3"/>
    <w:rsid w:val="4D0A756C"/>
    <w:rsid w:val="4D135344"/>
    <w:rsid w:val="4D135E34"/>
    <w:rsid w:val="4D142D34"/>
    <w:rsid w:val="4D1D0596"/>
    <w:rsid w:val="4D2C0F5D"/>
    <w:rsid w:val="4D2E3AAB"/>
    <w:rsid w:val="4D354FDC"/>
    <w:rsid w:val="4D391AFD"/>
    <w:rsid w:val="4D3C4447"/>
    <w:rsid w:val="4D41297D"/>
    <w:rsid w:val="4D422CD3"/>
    <w:rsid w:val="4D432B7D"/>
    <w:rsid w:val="4D4B0234"/>
    <w:rsid w:val="4D5071D3"/>
    <w:rsid w:val="4D5901E2"/>
    <w:rsid w:val="4D6F5EA2"/>
    <w:rsid w:val="4D76358D"/>
    <w:rsid w:val="4D7820B2"/>
    <w:rsid w:val="4D860848"/>
    <w:rsid w:val="4D8D76CF"/>
    <w:rsid w:val="4D9528CD"/>
    <w:rsid w:val="4D987929"/>
    <w:rsid w:val="4D9952C2"/>
    <w:rsid w:val="4DA2126A"/>
    <w:rsid w:val="4DB12BD1"/>
    <w:rsid w:val="4DB20CFB"/>
    <w:rsid w:val="4DB42201"/>
    <w:rsid w:val="4DB53485"/>
    <w:rsid w:val="4DBF302C"/>
    <w:rsid w:val="4DCF31B2"/>
    <w:rsid w:val="4DD27F5A"/>
    <w:rsid w:val="4DD331F5"/>
    <w:rsid w:val="4DD55A3D"/>
    <w:rsid w:val="4DDA256B"/>
    <w:rsid w:val="4DDF73E7"/>
    <w:rsid w:val="4DEC51D0"/>
    <w:rsid w:val="4DF025DA"/>
    <w:rsid w:val="4DF435F0"/>
    <w:rsid w:val="4DF7582C"/>
    <w:rsid w:val="4DF874CF"/>
    <w:rsid w:val="4E0849B8"/>
    <w:rsid w:val="4E105EE3"/>
    <w:rsid w:val="4E1C5B6F"/>
    <w:rsid w:val="4E267CF0"/>
    <w:rsid w:val="4E287A94"/>
    <w:rsid w:val="4E2F1F4C"/>
    <w:rsid w:val="4E304569"/>
    <w:rsid w:val="4E4B3EE3"/>
    <w:rsid w:val="4E4B7864"/>
    <w:rsid w:val="4E541901"/>
    <w:rsid w:val="4E6B2D92"/>
    <w:rsid w:val="4E7A1425"/>
    <w:rsid w:val="4E7B18B2"/>
    <w:rsid w:val="4E7B669D"/>
    <w:rsid w:val="4E8648A2"/>
    <w:rsid w:val="4E8805E2"/>
    <w:rsid w:val="4E8B4122"/>
    <w:rsid w:val="4E8C0FD5"/>
    <w:rsid w:val="4E9E42D3"/>
    <w:rsid w:val="4EAB24D7"/>
    <w:rsid w:val="4EAE11A8"/>
    <w:rsid w:val="4EB44C13"/>
    <w:rsid w:val="4EBB5ABE"/>
    <w:rsid w:val="4EBC6108"/>
    <w:rsid w:val="4EBF7A92"/>
    <w:rsid w:val="4EC2420D"/>
    <w:rsid w:val="4ECF7FDC"/>
    <w:rsid w:val="4ED0337F"/>
    <w:rsid w:val="4ED056BA"/>
    <w:rsid w:val="4ED103BA"/>
    <w:rsid w:val="4ED22487"/>
    <w:rsid w:val="4ED637EC"/>
    <w:rsid w:val="4ED764E9"/>
    <w:rsid w:val="4ED80FD0"/>
    <w:rsid w:val="4EDE06E9"/>
    <w:rsid w:val="4EEB5D5A"/>
    <w:rsid w:val="4EF74EE9"/>
    <w:rsid w:val="4EFE5744"/>
    <w:rsid w:val="4F011AB4"/>
    <w:rsid w:val="4F0E4D3C"/>
    <w:rsid w:val="4F1224DA"/>
    <w:rsid w:val="4F144E07"/>
    <w:rsid w:val="4F18306A"/>
    <w:rsid w:val="4F2D14E0"/>
    <w:rsid w:val="4F421637"/>
    <w:rsid w:val="4F4375D4"/>
    <w:rsid w:val="4F4E516B"/>
    <w:rsid w:val="4F5035B5"/>
    <w:rsid w:val="4F525795"/>
    <w:rsid w:val="4F526D5D"/>
    <w:rsid w:val="4F60392B"/>
    <w:rsid w:val="4F7241EA"/>
    <w:rsid w:val="4F767E69"/>
    <w:rsid w:val="4F7B1A3F"/>
    <w:rsid w:val="4F810870"/>
    <w:rsid w:val="4F8751A4"/>
    <w:rsid w:val="4F8D18A5"/>
    <w:rsid w:val="4F9146CB"/>
    <w:rsid w:val="4F93218E"/>
    <w:rsid w:val="4F947F5F"/>
    <w:rsid w:val="4FAD1945"/>
    <w:rsid w:val="4FBB76B3"/>
    <w:rsid w:val="4FBD04F9"/>
    <w:rsid w:val="4FBF7DB6"/>
    <w:rsid w:val="4FC8589B"/>
    <w:rsid w:val="4FD1196E"/>
    <w:rsid w:val="4FD71449"/>
    <w:rsid w:val="4FF65CAD"/>
    <w:rsid w:val="4FFB2428"/>
    <w:rsid w:val="4FFB6F1B"/>
    <w:rsid w:val="50006507"/>
    <w:rsid w:val="50074DEE"/>
    <w:rsid w:val="500B18FD"/>
    <w:rsid w:val="501C3A50"/>
    <w:rsid w:val="501D48BD"/>
    <w:rsid w:val="501F5F82"/>
    <w:rsid w:val="502A0DCC"/>
    <w:rsid w:val="502A3DBA"/>
    <w:rsid w:val="502B7C5D"/>
    <w:rsid w:val="502C6BFE"/>
    <w:rsid w:val="50301863"/>
    <w:rsid w:val="503453CA"/>
    <w:rsid w:val="504113CA"/>
    <w:rsid w:val="5048033C"/>
    <w:rsid w:val="5049019A"/>
    <w:rsid w:val="504A4684"/>
    <w:rsid w:val="504B4B89"/>
    <w:rsid w:val="504D1837"/>
    <w:rsid w:val="505B65CF"/>
    <w:rsid w:val="505D1D51"/>
    <w:rsid w:val="505D5B49"/>
    <w:rsid w:val="505E18F4"/>
    <w:rsid w:val="50604B8A"/>
    <w:rsid w:val="50760860"/>
    <w:rsid w:val="50761462"/>
    <w:rsid w:val="507F634E"/>
    <w:rsid w:val="508A5AF0"/>
    <w:rsid w:val="50903BFC"/>
    <w:rsid w:val="5091119D"/>
    <w:rsid w:val="50923C93"/>
    <w:rsid w:val="50965EAC"/>
    <w:rsid w:val="509739B3"/>
    <w:rsid w:val="509A1DE5"/>
    <w:rsid w:val="509B0146"/>
    <w:rsid w:val="50A70297"/>
    <w:rsid w:val="50AD5FA0"/>
    <w:rsid w:val="50B34E57"/>
    <w:rsid w:val="50B741D4"/>
    <w:rsid w:val="50BB2C80"/>
    <w:rsid w:val="50BD7865"/>
    <w:rsid w:val="50BE3510"/>
    <w:rsid w:val="50BE5F2B"/>
    <w:rsid w:val="50CA023B"/>
    <w:rsid w:val="50CD180F"/>
    <w:rsid w:val="50CE616C"/>
    <w:rsid w:val="50D350CA"/>
    <w:rsid w:val="50E35899"/>
    <w:rsid w:val="50E51D56"/>
    <w:rsid w:val="50E736D9"/>
    <w:rsid w:val="51013EC6"/>
    <w:rsid w:val="51015529"/>
    <w:rsid w:val="5104185A"/>
    <w:rsid w:val="51066188"/>
    <w:rsid w:val="5107343D"/>
    <w:rsid w:val="51142518"/>
    <w:rsid w:val="51275108"/>
    <w:rsid w:val="512F2EA1"/>
    <w:rsid w:val="51320E03"/>
    <w:rsid w:val="51416800"/>
    <w:rsid w:val="51454C5F"/>
    <w:rsid w:val="51627754"/>
    <w:rsid w:val="51644492"/>
    <w:rsid w:val="5165503A"/>
    <w:rsid w:val="51790C97"/>
    <w:rsid w:val="517D233F"/>
    <w:rsid w:val="518D6EA0"/>
    <w:rsid w:val="51AE367F"/>
    <w:rsid w:val="51AE7906"/>
    <w:rsid w:val="51B36766"/>
    <w:rsid w:val="51B43DD3"/>
    <w:rsid w:val="51B5159F"/>
    <w:rsid w:val="51C35B62"/>
    <w:rsid w:val="51CC3594"/>
    <w:rsid w:val="51D242ED"/>
    <w:rsid w:val="51E622CF"/>
    <w:rsid w:val="51E90475"/>
    <w:rsid w:val="51EE2EEE"/>
    <w:rsid w:val="51F1085E"/>
    <w:rsid w:val="51F720CE"/>
    <w:rsid w:val="520165A7"/>
    <w:rsid w:val="520274F9"/>
    <w:rsid w:val="520E1247"/>
    <w:rsid w:val="522D60CC"/>
    <w:rsid w:val="522F0757"/>
    <w:rsid w:val="52312205"/>
    <w:rsid w:val="52372EB9"/>
    <w:rsid w:val="52511CED"/>
    <w:rsid w:val="5254133A"/>
    <w:rsid w:val="52571C07"/>
    <w:rsid w:val="525830F6"/>
    <w:rsid w:val="52624096"/>
    <w:rsid w:val="52656099"/>
    <w:rsid w:val="52843C13"/>
    <w:rsid w:val="528503F7"/>
    <w:rsid w:val="528564ED"/>
    <w:rsid w:val="528D0D84"/>
    <w:rsid w:val="529B6CC3"/>
    <w:rsid w:val="529C29DA"/>
    <w:rsid w:val="529C6810"/>
    <w:rsid w:val="529D3365"/>
    <w:rsid w:val="52A06C8F"/>
    <w:rsid w:val="52A14389"/>
    <w:rsid w:val="52AC282C"/>
    <w:rsid w:val="52AD20FE"/>
    <w:rsid w:val="52B8207F"/>
    <w:rsid w:val="52BF53B3"/>
    <w:rsid w:val="52D60F11"/>
    <w:rsid w:val="52D6686F"/>
    <w:rsid w:val="52D87D8A"/>
    <w:rsid w:val="52D95130"/>
    <w:rsid w:val="52DC6519"/>
    <w:rsid w:val="52E011BF"/>
    <w:rsid w:val="52E65D03"/>
    <w:rsid w:val="52E6736E"/>
    <w:rsid w:val="52F70701"/>
    <w:rsid w:val="52FA6B15"/>
    <w:rsid w:val="52FD3798"/>
    <w:rsid w:val="53016777"/>
    <w:rsid w:val="5303344F"/>
    <w:rsid w:val="53036157"/>
    <w:rsid w:val="5306071E"/>
    <w:rsid w:val="530A03E2"/>
    <w:rsid w:val="530E7207"/>
    <w:rsid w:val="530F2799"/>
    <w:rsid w:val="531D2949"/>
    <w:rsid w:val="531E46E3"/>
    <w:rsid w:val="53205ADE"/>
    <w:rsid w:val="5329480D"/>
    <w:rsid w:val="532C0C91"/>
    <w:rsid w:val="532E363D"/>
    <w:rsid w:val="533656B4"/>
    <w:rsid w:val="533A72D2"/>
    <w:rsid w:val="53466802"/>
    <w:rsid w:val="5349641E"/>
    <w:rsid w:val="53503DCB"/>
    <w:rsid w:val="53514987"/>
    <w:rsid w:val="53515B14"/>
    <w:rsid w:val="5357664F"/>
    <w:rsid w:val="5358535A"/>
    <w:rsid w:val="535C68D2"/>
    <w:rsid w:val="536222D6"/>
    <w:rsid w:val="5367371E"/>
    <w:rsid w:val="53673897"/>
    <w:rsid w:val="536C0B22"/>
    <w:rsid w:val="53700295"/>
    <w:rsid w:val="5383324B"/>
    <w:rsid w:val="5385565E"/>
    <w:rsid w:val="5389799E"/>
    <w:rsid w:val="538B63E5"/>
    <w:rsid w:val="53992E62"/>
    <w:rsid w:val="539A2188"/>
    <w:rsid w:val="539C215C"/>
    <w:rsid w:val="539C471F"/>
    <w:rsid w:val="539C7CBC"/>
    <w:rsid w:val="53A22979"/>
    <w:rsid w:val="53A23BA8"/>
    <w:rsid w:val="53A45124"/>
    <w:rsid w:val="53A45569"/>
    <w:rsid w:val="53A72B19"/>
    <w:rsid w:val="53AE0C49"/>
    <w:rsid w:val="53B375E7"/>
    <w:rsid w:val="53B77D76"/>
    <w:rsid w:val="53BB1760"/>
    <w:rsid w:val="53C115A8"/>
    <w:rsid w:val="53D75F10"/>
    <w:rsid w:val="53DB0FFF"/>
    <w:rsid w:val="53EE5E3B"/>
    <w:rsid w:val="53F114BC"/>
    <w:rsid w:val="54005176"/>
    <w:rsid w:val="54016225"/>
    <w:rsid w:val="5407493E"/>
    <w:rsid w:val="54086B7E"/>
    <w:rsid w:val="5409172A"/>
    <w:rsid w:val="540E3CFF"/>
    <w:rsid w:val="5410566F"/>
    <w:rsid w:val="54174C88"/>
    <w:rsid w:val="541E68BA"/>
    <w:rsid w:val="54221E45"/>
    <w:rsid w:val="542738DF"/>
    <w:rsid w:val="542B5A0C"/>
    <w:rsid w:val="543377D2"/>
    <w:rsid w:val="54360F93"/>
    <w:rsid w:val="544945DC"/>
    <w:rsid w:val="544A7F72"/>
    <w:rsid w:val="5455288E"/>
    <w:rsid w:val="54607D61"/>
    <w:rsid w:val="5462593B"/>
    <w:rsid w:val="546623DE"/>
    <w:rsid w:val="546B69B4"/>
    <w:rsid w:val="546C6865"/>
    <w:rsid w:val="546E6CB3"/>
    <w:rsid w:val="547E43C3"/>
    <w:rsid w:val="547E4A74"/>
    <w:rsid w:val="548A534D"/>
    <w:rsid w:val="548C570A"/>
    <w:rsid w:val="54915F89"/>
    <w:rsid w:val="54A14E4E"/>
    <w:rsid w:val="54A51ED9"/>
    <w:rsid w:val="54A74CA6"/>
    <w:rsid w:val="54AE73DB"/>
    <w:rsid w:val="54B54A7D"/>
    <w:rsid w:val="54B81250"/>
    <w:rsid w:val="54BF7B93"/>
    <w:rsid w:val="54C869ED"/>
    <w:rsid w:val="54D623A9"/>
    <w:rsid w:val="54DA1BC4"/>
    <w:rsid w:val="54DB5060"/>
    <w:rsid w:val="54E654F8"/>
    <w:rsid w:val="54EB0E74"/>
    <w:rsid w:val="54EE00E6"/>
    <w:rsid w:val="54F92900"/>
    <w:rsid w:val="54FD6C97"/>
    <w:rsid w:val="550148E2"/>
    <w:rsid w:val="55067147"/>
    <w:rsid w:val="55150E33"/>
    <w:rsid w:val="55240AA4"/>
    <w:rsid w:val="552D4396"/>
    <w:rsid w:val="552E543D"/>
    <w:rsid w:val="55304326"/>
    <w:rsid w:val="553637B1"/>
    <w:rsid w:val="55367126"/>
    <w:rsid w:val="554B32C0"/>
    <w:rsid w:val="55525C20"/>
    <w:rsid w:val="556271C8"/>
    <w:rsid w:val="55660FC4"/>
    <w:rsid w:val="55722C00"/>
    <w:rsid w:val="557272CD"/>
    <w:rsid w:val="557D26D2"/>
    <w:rsid w:val="557F3544"/>
    <w:rsid w:val="55913276"/>
    <w:rsid w:val="559668DC"/>
    <w:rsid w:val="559C5618"/>
    <w:rsid w:val="559E1872"/>
    <w:rsid w:val="55A34E45"/>
    <w:rsid w:val="55A450D5"/>
    <w:rsid w:val="55B04C33"/>
    <w:rsid w:val="55B96D93"/>
    <w:rsid w:val="55B9733C"/>
    <w:rsid w:val="55C72EFE"/>
    <w:rsid w:val="55CA3C3D"/>
    <w:rsid w:val="55CF3ED3"/>
    <w:rsid w:val="55D43743"/>
    <w:rsid w:val="55DE780B"/>
    <w:rsid w:val="55E01540"/>
    <w:rsid w:val="55F26E27"/>
    <w:rsid w:val="55F77421"/>
    <w:rsid w:val="55FC196F"/>
    <w:rsid w:val="56006BCE"/>
    <w:rsid w:val="560141A7"/>
    <w:rsid w:val="560658C1"/>
    <w:rsid w:val="5607607C"/>
    <w:rsid w:val="561511E6"/>
    <w:rsid w:val="561967FD"/>
    <w:rsid w:val="561F7A33"/>
    <w:rsid w:val="56227BD2"/>
    <w:rsid w:val="5629770C"/>
    <w:rsid w:val="56396761"/>
    <w:rsid w:val="563D31D5"/>
    <w:rsid w:val="564330AA"/>
    <w:rsid w:val="56450F0C"/>
    <w:rsid w:val="564702DA"/>
    <w:rsid w:val="564A0B13"/>
    <w:rsid w:val="564A1E5C"/>
    <w:rsid w:val="564A23FC"/>
    <w:rsid w:val="564B7A86"/>
    <w:rsid w:val="565B01A8"/>
    <w:rsid w:val="56625BDE"/>
    <w:rsid w:val="56665628"/>
    <w:rsid w:val="56680714"/>
    <w:rsid w:val="56775F32"/>
    <w:rsid w:val="567B36D5"/>
    <w:rsid w:val="567E1876"/>
    <w:rsid w:val="567E5F8D"/>
    <w:rsid w:val="56884B58"/>
    <w:rsid w:val="568C3ED9"/>
    <w:rsid w:val="568D317D"/>
    <w:rsid w:val="56981C2B"/>
    <w:rsid w:val="569B0470"/>
    <w:rsid w:val="56A06A3C"/>
    <w:rsid w:val="56A2311B"/>
    <w:rsid w:val="56A23B26"/>
    <w:rsid w:val="56AC30B5"/>
    <w:rsid w:val="56B05C13"/>
    <w:rsid w:val="56B70564"/>
    <w:rsid w:val="56B812EC"/>
    <w:rsid w:val="56B9541F"/>
    <w:rsid w:val="56BD2106"/>
    <w:rsid w:val="56CB4933"/>
    <w:rsid w:val="56CF7835"/>
    <w:rsid w:val="56F21F9C"/>
    <w:rsid w:val="570560D7"/>
    <w:rsid w:val="57085F46"/>
    <w:rsid w:val="571125EA"/>
    <w:rsid w:val="572119E8"/>
    <w:rsid w:val="57220B40"/>
    <w:rsid w:val="57236A79"/>
    <w:rsid w:val="573249A3"/>
    <w:rsid w:val="57326772"/>
    <w:rsid w:val="573645D7"/>
    <w:rsid w:val="574144B0"/>
    <w:rsid w:val="574C1BA8"/>
    <w:rsid w:val="574C7539"/>
    <w:rsid w:val="574F28FE"/>
    <w:rsid w:val="575A66F6"/>
    <w:rsid w:val="575B3DBF"/>
    <w:rsid w:val="57661B56"/>
    <w:rsid w:val="576D5940"/>
    <w:rsid w:val="57785731"/>
    <w:rsid w:val="577B2EC1"/>
    <w:rsid w:val="57813D40"/>
    <w:rsid w:val="57842620"/>
    <w:rsid w:val="578C014D"/>
    <w:rsid w:val="578E4FB0"/>
    <w:rsid w:val="579643FA"/>
    <w:rsid w:val="579A4622"/>
    <w:rsid w:val="57A25481"/>
    <w:rsid w:val="57A52307"/>
    <w:rsid w:val="57AE09D9"/>
    <w:rsid w:val="57B8549E"/>
    <w:rsid w:val="57BE26AF"/>
    <w:rsid w:val="57C21512"/>
    <w:rsid w:val="57C2629A"/>
    <w:rsid w:val="57D15132"/>
    <w:rsid w:val="57DD7A3B"/>
    <w:rsid w:val="57DF49A2"/>
    <w:rsid w:val="57DF51C1"/>
    <w:rsid w:val="57E07C1C"/>
    <w:rsid w:val="57E402D5"/>
    <w:rsid w:val="57ED47FC"/>
    <w:rsid w:val="57F721B3"/>
    <w:rsid w:val="57F9485D"/>
    <w:rsid w:val="57FFAF45"/>
    <w:rsid w:val="58093716"/>
    <w:rsid w:val="580D07C4"/>
    <w:rsid w:val="580F0354"/>
    <w:rsid w:val="58183B22"/>
    <w:rsid w:val="58186978"/>
    <w:rsid w:val="5827508C"/>
    <w:rsid w:val="582B09F6"/>
    <w:rsid w:val="582D2BFA"/>
    <w:rsid w:val="58343124"/>
    <w:rsid w:val="583C5BC8"/>
    <w:rsid w:val="5843450F"/>
    <w:rsid w:val="584564F3"/>
    <w:rsid w:val="58496566"/>
    <w:rsid w:val="584A71EB"/>
    <w:rsid w:val="586C63B4"/>
    <w:rsid w:val="586D0008"/>
    <w:rsid w:val="586E01B4"/>
    <w:rsid w:val="587344D1"/>
    <w:rsid w:val="587755BD"/>
    <w:rsid w:val="58780ECD"/>
    <w:rsid w:val="5882421A"/>
    <w:rsid w:val="589A1E5A"/>
    <w:rsid w:val="589A6B43"/>
    <w:rsid w:val="58A8167C"/>
    <w:rsid w:val="58A84C2F"/>
    <w:rsid w:val="58B54466"/>
    <w:rsid w:val="58B74643"/>
    <w:rsid w:val="58C12149"/>
    <w:rsid w:val="58C17C01"/>
    <w:rsid w:val="58C438F7"/>
    <w:rsid w:val="58C868A8"/>
    <w:rsid w:val="58CE6B9A"/>
    <w:rsid w:val="58D263BA"/>
    <w:rsid w:val="58D630FB"/>
    <w:rsid w:val="58E5214E"/>
    <w:rsid w:val="58E5795A"/>
    <w:rsid w:val="58E7573F"/>
    <w:rsid w:val="58E765BC"/>
    <w:rsid w:val="58ED269C"/>
    <w:rsid w:val="58F26940"/>
    <w:rsid w:val="58F43CD5"/>
    <w:rsid w:val="58F86A34"/>
    <w:rsid w:val="58FC7118"/>
    <w:rsid w:val="58FD5582"/>
    <w:rsid w:val="590708AE"/>
    <w:rsid w:val="590A31E0"/>
    <w:rsid w:val="590F08DD"/>
    <w:rsid w:val="592B5E9A"/>
    <w:rsid w:val="592E2741"/>
    <w:rsid w:val="59301B42"/>
    <w:rsid w:val="5931524E"/>
    <w:rsid w:val="5934257F"/>
    <w:rsid w:val="593529AD"/>
    <w:rsid w:val="59677F2E"/>
    <w:rsid w:val="597B7831"/>
    <w:rsid w:val="59975BD0"/>
    <w:rsid w:val="59992F77"/>
    <w:rsid w:val="599A7B0A"/>
    <w:rsid w:val="599B15E8"/>
    <w:rsid w:val="599E42F5"/>
    <w:rsid w:val="59A51704"/>
    <w:rsid w:val="59A85A7E"/>
    <w:rsid w:val="59AA3BD4"/>
    <w:rsid w:val="59AE7F73"/>
    <w:rsid w:val="59B755D4"/>
    <w:rsid w:val="59E56F1B"/>
    <w:rsid w:val="59E86909"/>
    <w:rsid w:val="59EB5ADD"/>
    <w:rsid w:val="59F075E5"/>
    <w:rsid w:val="59F1698F"/>
    <w:rsid w:val="59F77F45"/>
    <w:rsid w:val="5A045F5C"/>
    <w:rsid w:val="5A10416A"/>
    <w:rsid w:val="5A121A50"/>
    <w:rsid w:val="5A1328D5"/>
    <w:rsid w:val="5A141E5B"/>
    <w:rsid w:val="5A143A7C"/>
    <w:rsid w:val="5A217199"/>
    <w:rsid w:val="5A3600CF"/>
    <w:rsid w:val="5A3B2B9E"/>
    <w:rsid w:val="5A3C1840"/>
    <w:rsid w:val="5A3D30BA"/>
    <w:rsid w:val="5A3E6B03"/>
    <w:rsid w:val="5A403EA8"/>
    <w:rsid w:val="5A414940"/>
    <w:rsid w:val="5A455750"/>
    <w:rsid w:val="5A5E4E13"/>
    <w:rsid w:val="5A682A7B"/>
    <w:rsid w:val="5A6D69E9"/>
    <w:rsid w:val="5A6F2167"/>
    <w:rsid w:val="5A6F533B"/>
    <w:rsid w:val="5A7B0D86"/>
    <w:rsid w:val="5A8D4594"/>
    <w:rsid w:val="5A924E58"/>
    <w:rsid w:val="5A933601"/>
    <w:rsid w:val="5AA56E92"/>
    <w:rsid w:val="5AAF0A61"/>
    <w:rsid w:val="5ABE2A66"/>
    <w:rsid w:val="5AC17F98"/>
    <w:rsid w:val="5AC527DB"/>
    <w:rsid w:val="5AC52D6E"/>
    <w:rsid w:val="5ACF6253"/>
    <w:rsid w:val="5AD9320B"/>
    <w:rsid w:val="5ADA013B"/>
    <w:rsid w:val="5AE57388"/>
    <w:rsid w:val="5AE67CD7"/>
    <w:rsid w:val="5AF13958"/>
    <w:rsid w:val="5B0071ED"/>
    <w:rsid w:val="5B045963"/>
    <w:rsid w:val="5B0A7340"/>
    <w:rsid w:val="5B0D3010"/>
    <w:rsid w:val="5B0E7C44"/>
    <w:rsid w:val="5B107D18"/>
    <w:rsid w:val="5B140AA6"/>
    <w:rsid w:val="5B225E1B"/>
    <w:rsid w:val="5B353E2A"/>
    <w:rsid w:val="5B362DEC"/>
    <w:rsid w:val="5B4461A5"/>
    <w:rsid w:val="5B4A6794"/>
    <w:rsid w:val="5B52510E"/>
    <w:rsid w:val="5B54213B"/>
    <w:rsid w:val="5B5F74CC"/>
    <w:rsid w:val="5B6834E5"/>
    <w:rsid w:val="5B6A5B29"/>
    <w:rsid w:val="5B7414DA"/>
    <w:rsid w:val="5B7454F8"/>
    <w:rsid w:val="5B745A96"/>
    <w:rsid w:val="5B7759A5"/>
    <w:rsid w:val="5B784A97"/>
    <w:rsid w:val="5B7A1341"/>
    <w:rsid w:val="5B7A2602"/>
    <w:rsid w:val="5B7C07C2"/>
    <w:rsid w:val="5B817C7A"/>
    <w:rsid w:val="5B8329A1"/>
    <w:rsid w:val="5B862BDF"/>
    <w:rsid w:val="5B8D23C3"/>
    <w:rsid w:val="5B8F3986"/>
    <w:rsid w:val="5B940473"/>
    <w:rsid w:val="5B9B2284"/>
    <w:rsid w:val="5BA07A57"/>
    <w:rsid w:val="5BAD6018"/>
    <w:rsid w:val="5BC1786D"/>
    <w:rsid w:val="5BC35070"/>
    <w:rsid w:val="5BCF795B"/>
    <w:rsid w:val="5BD33963"/>
    <w:rsid w:val="5BFD2CA4"/>
    <w:rsid w:val="5C123327"/>
    <w:rsid w:val="5C152611"/>
    <w:rsid w:val="5C1C135F"/>
    <w:rsid w:val="5C20767F"/>
    <w:rsid w:val="5C3347AD"/>
    <w:rsid w:val="5C374C80"/>
    <w:rsid w:val="5C4825C3"/>
    <w:rsid w:val="5C49053E"/>
    <w:rsid w:val="5C492DDE"/>
    <w:rsid w:val="5C4947E8"/>
    <w:rsid w:val="5C4D7EF3"/>
    <w:rsid w:val="5C5177A8"/>
    <w:rsid w:val="5C5960FA"/>
    <w:rsid w:val="5C6C59FD"/>
    <w:rsid w:val="5C717E14"/>
    <w:rsid w:val="5C725E3D"/>
    <w:rsid w:val="5C7976E7"/>
    <w:rsid w:val="5C7E2EC9"/>
    <w:rsid w:val="5C811D0C"/>
    <w:rsid w:val="5C88301E"/>
    <w:rsid w:val="5C8B0F04"/>
    <w:rsid w:val="5C8D55C8"/>
    <w:rsid w:val="5C8E613B"/>
    <w:rsid w:val="5CA321B6"/>
    <w:rsid w:val="5CAC1794"/>
    <w:rsid w:val="5CC22FA1"/>
    <w:rsid w:val="5CC931C3"/>
    <w:rsid w:val="5CD55AB1"/>
    <w:rsid w:val="5CD72434"/>
    <w:rsid w:val="5CD9076E"/>
    <w:rsid w:val="5CDF4ED0"/>
    <w:rsid w:val="5CDF7085"/>
    <w:rsid w:val="5CEB314D"/>
    <w:rsid w:val="5CEB7FBD"/>
    <w:rsid w:val="5CF50E41"/>
    <w:rsid w:val="5CF63C48"/>
    <w:rsid w:val="5CFC33B1"/>
    <w:rsid w:val="5D067A05"/>
    <w:rsid w:val="5D0746CC"/>
    <w:rsid w:val="5D1253A4"/>
    <w:rsid w:val="5D142798"/>
    <w:rsid w:val="5D1F5CDB"/>
    <w:rsid w:val="5D231CF9"/>
    <w:rsid w:val="5D244A02"/>
    <w:rsid w:val="5D275CC8"/>
    <w:rsid w:val="5D2A668E"/>
    <w:rsid w:val="5D2E0784"/>
    <w:rsid w:val="5D2F3E69"/>
    <w:rsid w:val="5D3123E3"/>
    <w:rsid w:val="5D326978"/>
    <w:rsid w:val="5D3931D0"/>
    <w:rsid w:val="5D3F2202"/>
    <w:rsid w:val="5D421DC8"/>
    <w:rsid w:val="5D434D79"/>
    <w:rsid w:val="5D464AF1"/>
    <w:rsid w:val="5D477199"/>
    <w:rsid w:val="5D621779"/>
    <w:rsid w:val="5D67123A"/>
    <w:rsid w:val="5D6A2DD5"/>
    <w:rsid w:val="5D6B24FF"/>
    <w:rsid w:val="5D6D3706"/>
    <w:rsid w:val="5D7415AC"/>
    <w:rsid w:val="5D742240"/>
    <w:rsid w:val="5D74602B"/>
    <w:rsid w:val="5D7A773F"/>
    <w:rsid w:val="5D7D6D2A"/>
    <w:rsid w:val="5D875E43"/>
    <w:rsid w:val="5D883266"/>
    <w:rsid w:val="5D8B5929"/>
    <w:rsid w:val="5D992846"/>
    <w:rsid w:val="5DB23F05"/>
    <w:rsid w:val="5DBE7145"/>
    <w:rsid w:val="5DC03C97"/>
    <w:rsid w:val="5DD7525E"/>
    <w:rsid w:val="5DDC5ECC"/>
    <w:rsid w:val="5DE114C8"/>
    <w:rsid w:val="5DEB3856"/>
    <w:rsid w:val="5DF31EA9"/>
    <w:rsid w:val="5DFD6BB3"/>
    <w:rsid w:val="5E030E1C"/>
    <w:rsid w:val="5E051A40"/>
    <w:rsid w:val="5E0E0783"/>
    <w:rsid w:val="5E0F6CCA"/>
    <w:rsid w:val="5E182356"/>
    <w:rsid w:val="5E1A73A8"/>
    <w:rsid w:val="5E24144C"/>
    <w:rsid w:val="5E2804CC"/>
    <w:rsid w:val="5E2A3FA3"/>
    <w:rsid w:val="5E2B0D26"/>
    <w:rsid w:val="5E3848D8"/>
    <w:rsid w:val="5E3B0769"/>
    <w:rsid w:val="5E3F2CE9"/>
    <w:rsid w:val="5E4C67BC"/>
    <w:rsid w:val="5E582B20"/>
    <w:rsid w:val="5E5F0582"/>
    <w:rsid w:val="5E6B178A"/>
    <w:rsid w:val="5E761CD9"/>
    <w:rsid w:val="5E766AAF"/>
    <w:rsid w:val="5E7722A1"/>
    <w:rsid w:val="5E8773BD"/>
    <w:rsid w:val="5E944FA5"/>
    <w:rsid w:val="5EA10BA2"/>
    <w:rsid w:val="5EA57611"/>
    <w:rsid w:val="5EAC7C8E"/>
    <w:rsid w:val="5EBB6FD1"/>
    <w:rsid w:val="5EBD226B"/>
    <w:rsid w:val="5EC327AB"/>
    <w:rsid w:val="5ECA1782"/>
    <w:rsid w:val="5ECC722E"/>
    <w:rsid w:val="5ED029E1"/>
    <w:rsid w:val="5EDFA36D"/>
    <w:rsid w:val="5EE5453F"/>
    <w:rsid w:val="5EEB511B"/>
    <w:rsid w:val="5EEF7327"/>
    <w:rsid w:val="5F095E88"/>
    <w:rsid w:val="5F143439"/>
    <w:rsid w:val="5F1752DE"/>
    <w:rsid w:val="5F1E3C86"/>
    <w:rsid w:val="5F217812"/>
    <w:rsid w:val="5F240898"/>
    <w:rsid w:val="5F37767B"/>
    <w:rsid w:val="5F536842"/>
    <w:rsid w:val="5F56002F"/>
    <w:rsid w:val="5F5932DA"/>
    <w:rsid w:val="5F7B3A19"/>
    <w:rsid w:val="5F8065F5"/>
    <w:rsid w:val="5F89637E"/>
    <w:rsid w:val="5F8D788E"/>
    <w:rsid w:val="5F8E212B"/>
    <w:rsid w:val="5F8F26C3"/>
    <w:rsid w:val="5F9F438F"/>
    <w:rsid w:val="5FA10660"/>
    <w:rsid w:val="5FA136CD"/>
    <w:rsid w:val="5FA13F7C"/>
    <w:rsid w:val="5FBA49D4"/>
    <w:rsid w:val="5FBD0C2A"/>
    <w:rsid w:val="5FC16BAF"/>
    <w:rsid w:val="5FC16C8E"/>
    <w:rsid w:val="5FC26B0B"/>
    <w:rsid w:val="5FC35A8A"/>
    <w:rsid w:val="5FC36F9F"/>
    <w:rsid w:val="5FD87FDD"/>
    <w:rsid w:val="5FDC529C"/>
    <w:rsid w:val="5FEB4BEF"/>
    <w:rsid w:val="5FF85594"/>
    <w:rsid w:val="5FFF26BD"/>
    <w:rsid w:val="600F0DB4"/>
    <w:rsid w:val="601A1130"/>
    <w:rsid w:val="601D1F8F"/>
    <w:rsid w:val="60247576"/>
    <w:rsid w:val="60287AF6"/>
    <w:rsid w:val="602E7E5B"/>
    <w:rsid w:val="602F3EBF"/>
    <w:rsid w:val="60315495"/>
    <w:rsid w:val="6031791B"/>
    <w:rsid w:val="603C65E7"/>
    <w:rsid w:val="60446FFD"/>
    <w:rsid w:val="604D6363"/>
    <w:rsid w:val="604D733C"/>
    <w:rsid w:val="60514B03"/>
    <w:rsid w:val="6052264C"/>
    <w:rsid w:val="60565C4E"/>
    <w:rsid w:val="605C5D9D"/>
    <w:rsid w:val="606E5EE1"/>
    <w:rsid w:val="60712317"/>
    <w:rsid w:val="607D435A"/>
    <w:rsid w:val="60823191"/>
    <w:rsid w:val="608C3E61"/>
    <w:rsid w:val="608C57FE"/>
    <w:rsid w:val="60933164"/>
    <w:rsid w:val="609B398F"/>
    <w:rsid w:val="609D6E7B"/>
    <w:rsid w:val="60A26049"/>
    <w:rsid w:val="60AA2EAA"/>
    <w:rsid w:val="60BF7824"/>
    <w:rsid w:val="60D15321"/>
    <w:rsid w:val="60D42F2C"/>
    <w:rsid w:val="60DE5826"/>
    <w:rsid w:val="60E604E6"/>
    <w:rsid w:val="60E82CFB"/>
    <w:rsid w:val="61011BB2"/>
    <w:rsid w:val="61112665"/>
    <w:rsid w:val="61185F7D"/>
    <w:rsid w:val="611B3699"/>
    <w:rsid w:val="61204247"/>
    <w:rsid w:val="61246385"/>
    <w:rsid w:val="612717B4"/>
    <w:rsid w:val="612C45CE"/>
    <w:rsid w:val="612F3FC4"/>
    <w:rsid w:val="61367A4A"/>
    <w:rsid w:val="613C6A21"/>
    <w:rsid w:val="613E0B87"/>
    <w:rsid w:val="613E66D3"/>
    <w:rsid w:val="614B6934"/>
    <w:rsid w:val="614F43FC"/>
    <w:rsid w:val="6152575A"/>
    <w:rsid w:val="615C781B"/>
    <w:rsid w:val="617343FF"/>
    <w:rsid w:val="617A0A66"/>
    <w:rsid w:val="617F623A"/>
    <w:rsid w:val="618101E3"/>
    <w:rsid w:val="61817814"/>
    <w:rsid w:val="61883B73"/>
    <w:rsid w:val="618C220E"/>
    <w:rsid w:val="618D15A2"/>
    <w:rsid w:val="6197517D"/>
    <w:rsid w:val="61B81B60"/>
    <w:rsid w:val="61BA213D"/>
    <w:rsid w:val="61BA5C99"/>
    <w:rsid w:val="61BE3511"/>
    <w:rsid w:val="61CF3A6C"/>
    <w:rsid w:val="61CF4149"/>
    <w:rsid w:val="61D1238C"/>
    <w:rsid w:val="61D4386D"/>
    <w:rsid w:val="61F40326"/>
    <w:rsid w:val="6206052E"/>
    <w:rsid w:val="620F7CB9"/>
    <w:rsid w:val="62114C1D"/>
    <w:rsid w:val="62190F0B"/>
    <w:rsid w:val="621D3A47"/>
    <w:rsid w:val="6223625E"/>
    <w:rsid w:val="622F36CA"/>
    <w:rsid w:val="623A4EAC"/>
    <w:rsid w:val="623E5E81"/>
    <w:rsid w:val="624552D4"/>
    <w:rsid w:val="62525376"/>
    <w:rsid w:val="625546A1"/>
    <w:rsid w:val="625A7D1F"/>
    <w:rsid w:val="625B1A08"/>
    <w:rsid w:val="62611DB2"/>
    <w:rsid w:val="626242AF"/>
    <w:rsid w:val="627073DF"/>
    <w:rsid w:val="62726CDA"/>
    <w:rsid w:val="6286232A"/>
    <w:rsid w:val="62901E79"/>
    <w:rsid w:val="62966D59"/>
    <w:rsid w:val="62991B56"/>
    <w:rsid w:val="629926FB"/>
    <w:rsid w:val="62AA7397"/>
    <w:rsid w:val="62AC3F49"/>
    <w:rsid w:val="62AE1734"/>
    <w:rsid w:val="62B962CE"/>
    <w:rsid w:val="62BE0C35"/>
    <w:rsid w:val="62D83687"/>
    <w:rsid w:val="62DA06C5"/>
    <w:rsid w:val="62DD424D"/>
    <w:rsid w:val="62DF400D"/>
    <w:rsid w:val="62EA38CD"/>
    <w:rsid w:val="62FC0AED"/>
    <w:rsid w:val="62FF058C"/>
    <w:rsid w:val="63063093"/>
    <w:rsid w:val="630E71E5"/>
    <w:rsid w:val="631C2C98"/>
    <w:rsid w:val="631D1F05"/>
    <w:rsid w:val="632A1084"/>
    <w:rsid w:val="632F0271"/>
    <w:rsid w:val="633046DB"/>
    <w:rsid w:val="634220CE"/>
    <w:rsid w:val="634458A7"/>
    <w:rsid w:val="634C13CD"/>
    <w:rsid w:val="635E63B1"/>
    <w:rsid w:val="636258C7"/>
    <w:rsid w:val="636775B5"/>
    <w:rsid w:val="63777D19"/>
    <w:rsid w:val="63792CE7"/>
    <w:rsid w:val="637A3827"/>
    <w:rsid w:val="637F121C"/>
    <w:rsid w:val="63817E33"/>
    <w:rsid w:val="63865033"/>
    <w:rsid w:val="6391598C"/>
    <w:rsid w:val="63916850"/>
    <w:rsid w:val="63932A3C"/>
    <w:rsid w:val="63936F70"/>
    <w:rsid w:val="639A4E48"/>
    <w:rsid w:val="639E65CD"/>
    <w:rsid w:val="63AA6AED"/>
    <w:rsid w:val="63AB111F"/>
    <w:rsid w:val="63AE20DF"/>
    <w:rsid w:val="63B40033"/>
    <w:rsid w:val="63BA236A"/>
    <w:rsid w:val="63BF3292"/>
    <w:rsid w:val="63C9637F"/>
    <w:rsid w:val="63CC54F6"/>
    <w:rsid w:val="63D42399"/>
    <w:rsid w:val="63D75CF3"/>
    <w:rsid w:val="63E006CD"/>
    <w:rsid w:val="63E37C15"/>
    <w:rsid w:val="63EB40F2"/>
    <w:rsid w:val="63EC25C0"/>
    <w:rsid w:val="63F05C53"/>
    <w:rsid w:val="63F07A5F"/>
    <w:rsid w:val="63FD7906"/>
    <w:rsid w:val="640319AA"/>
    <w:rsid w:val="64033A07"/>
    <w:rsid w:val="64114211"/>
    <w:rsid w:val="642E2135"/>
    <w:rsid w:val="64322724"/>
    <w:rsid w:val="64375DEB"/>
    <w:rsid w:val="643772C8"/>
    <w:rsid w:val="64452F25"/>
    <w:rsid w:val="64453A03"/>
    <w:rsid w:val="644E3BF2"/>
    <w:rsid w:val="64565585"/>
    <w:rsid w:val="645A2DCE"/>
    <w:rsid w:val="645D3848"/>
    <w:rsid w:val="645F1C23"/>
    <w:rsid w:val="646B2DA9"/>
    <w:rsid w:val="646C2D1A"/>
    <w:rsid w:val="64771226"/>
    <w:rsid w:val="64816B7C"/>
    <w:rsid w:val="64840EAB"/>
    <w:rsid w:val="64897FC5"/>
    <w:rsid w:val="64961AF1"/>
    <w:rsid w:val="649E593B"/>
    <w:rsid w:val="64A86891"/>
    <w:rsid w:val="64AB20F7"/>
    <w:rsid w:val="64B0671C"/>
    <w:rsid w:val="64B94261"/>
    <w:rsid w:val="64D82C05"/>
    <w:rsid w:val="64E472AD"/>
    <w:rsid w:val="64E71214"/>
    <w:rsid w:val="64F774CD"/>
    <w:rsid w:val="64F82E2F"/>
    <w:rsid w:val="64F84B5B"/>
    <w:rsid w:val="65007440"/>
    <w:rsid w:val="65066D42"/>
    <w:rsid w:val="6508407D"/>
    <w:rsid w:val="65166B1B"/>
    <w:rsid w:val="651E1475"/>
    <w:rsid w:val="65261342"/>
    <w:rsid w:val="65266111"/>
    <w:rsid w:val="652B0C59"/>
    <w:rsid w:val="65362487"/>
    <w:rsid w:val="653B3F79"/>
    <w:rsid w:val="653B64B9"/>
    <w:rsid w:val="653E244D"/>
    <w:rsid w:val="6543510B"/>
    <w:rsid w:val="655712DF"/>
    <w:rsid w:val="655A1669"/>
    <w:rsid w:val="6560136A"/>
    <w:rsid w:val="65663400"/>
    <w:rsid w:val="65664C5A"/>
    <w:rsid w:val="65705D89"/>
    <w:rsid w:val="657232B5"/>
    <w:rsid w:val="657E47D8"/>
    <w:rsid w:val="65923054"/>
    <w:rsid w:val="659A1C23"/>
    <w:rsid w:val="659D2C4A"/>
    <w:rsid w:val="659F23C2"/>
    <w:rsid w:val="65A717A3"/>
    <w:rsid w:val="65A851DB"/>
    <w:rsid w:val="65AA73CE"/>
    <w:rsid w:val="65AB173D"/>
    <w:rsid w:val="65BC471E"/>
    <w:rsid w:val="65C569A4"/>
    <w:rsid w:val="65CE77D9"/>
    <w:rsid w:val="65DB0F20"/>
    <w:rsid w:val="65E65479"/>
    <w:rsid w:val="65E67B9A"/>
    <w:rsid w:val="65FE68FC"/>
    <w:rsid w:val="65FF2DAC"/>
    <w:rsid w:val="660420CA"/>
    <w:rsid w:val="66094A15"/>
    <w:rsid w:val="662B42A4"/>
    <w:rsid w:val="66303092"/>
    <w:rsid w:val="66355A97"/>
    <w:rsid w:val="6648413E"/>
    <w:rsid w:val="66590D2D"/>
    <w:rsid w:val="66593B9A"/>
    <w:rsid w:val="665C124C"/>
    <w:rsid w:val="665C49A9"/>
    <w:rsid w:val="665E5500"/>
    <w:rsid w:val="666D0CE1"/>
    <w:rsid w:val="66893103"/>
    <w:rsid w:val="668B1228"/>
    <w:rsid w:val="668F4E6F"/>
    <w:rsid w:val="6692670E"/>
    <w:rsid w:val="669C2EA8"/>
    <w:rsid w:val="669E0CEE"/>
    <w:rsid w:val="66A15A9D"/>
    <w:rsid w:val="66B133EB"/>
    <w:rsid w:val="66B34051"/>
    <w:rsid w:val="66B671B5"/>
    <w:rsid w:val="66CF5A16"/>
    <w:rsid w:val="66D11B38"/>
    <w:rsid w:val="66DD14B9"/>
    <w:rsid w:val="66DF22CC"/>
    <w:rsid w:val="66F43D4A"/>
    <w:rsid w:val="67107DD7"/>
    <w:rsid w:val="67173803"/>
    <w:rsid w:val="67176268"/>
    <w:rsid w:val="67217C90"/>
    <w:rsid w:val="67251A26"/>
    <w:rsid w:val="67295CD8"/>
    <w:rsid w:val="67304008"/>
    <w:rsid w:val="673B5505"/>
    <w:rsid w:val="673C2623"/>
    <w:rsid w:val="673C3910"/>
    <w:rsid w:val="673E4893"/>
    <w:rsid w:val="67433F94"/>
    <w:rsid w:val="674456AA"/>
    <w:rsid w:val="67616FAD"/>
    <w:rsid w:val="676C4FC5"/>
    <w:rsid w:val="677A19D6"/>
    <w:rsid w:val="677E2E13"/>
    <w:rsid w:val="679044F6"/>
    <w:rsid w:val="67986EDD"/>
    <w:rsid w:val="67987E28"/>
    <w:rsid w:val="679B75D8"/>
    <w:rsid w:val="67A10F90"/>
    <w:rsid w:val="67A66104"/>
    <w:rsid w:val="67AB14A9"/>
    <w:rsid w:val="67AE1909"/>
    <w:rsid w:val="67B50A2C"/>
    <w:rsid w:val="67BC535F"/>
    <w:rsid w:val="67BF737C"/>
    <w:rsid w:val="67C01E36"/>
    <w:rsid w:val="67C1261F"/>
    <w:rsid w:val="67C161A0"/>
    <w:rsid w:val="67C27068"/>
    <w:rsid w:val="67C803A8"/>
    <w:rsid w:val="67DE04F8"/>
    <w:rsid w:val="67E02509"/>
    <w:rsid w:val="67E64DA8"/>
    <w:rsid w:val="67F22368"/>
    <w:rsid w:val="67F4640E"/>
    <w:rsid w:val="67F46E9F"/>
    <w:rsid w:val="67F57340"/>
    <w:rsid w:val="680B3254"/>
    <w:rsid w:val="680D3DA6"/>
    <w:rsid w:val="681D631E"/>
    <w:rsid w:val="681E2A29"/>
    <w:rsid w:val="6824547D"/>
    <w:rsid w:val="68292578"/>
    <w:rsid w:val="682D270A"/>
    <w:rsid w:val="68313763"/>
    <w:rsid w:val="684319FE"/>
    <w:rsid w:val="6845243A"/>
    <w:rsid w:val="68511E42"/>
    <w:rsid w:val="6859670E"/>
    <w:rsid w:val="686C5A72"/>
    <w:rsid w:val="68771495"/>
    <w:rsid w:val="687D7423"/>
    <w:rsid w:val="688A278D"/>
    <w:rsid w:val="688D1A2B"/>
    <w:rsid w:val="689212FE"/>
    <w:rsid w:val="68927A66"/>
    <w:rsid w:val="689C25FF"/>
    <w:rsid w:val="68A57C57"/>
    <w:rsid w:val="68AC7696"/>
    <w:rsid w:val="68C0064C"/>
    <w:rsid w:val="68C4280B"/>
    <w:rsid w:val="68CC3D9E"/>
    <w:rsid w:val="68D344D9"/>
    <w:rsid w:val="68DC42F1"/>
    <w:rsid w:val="68DD7D50"/>
    <w:rsid w:val="68E16DE0"/>
    <w:rsid w:val="68E6434B"/>
    <w:rsid w:val="68EC75B5"/>
    <w:rsid w:val="68F11073"/>
    <w:rsid w:val="68F2196E"/>
    <w:rsid w:val="68F95385"/>
    <w:rsid w:val="68FF32F2"/>
    <w:rsid w:val="69092152"/>
    <w:rsid w:val="690F2792"/>
    <w:rsid w:val="69112F5E"/>
    <w:rsid w:val="69120C4E"/>
    <w:rsid w:val="69156EB1"/>
    <w:rsid w:val="691C17CD"/>
    <w:rsid w:val="691C4585"/>
    <w:rsid w:val="692122FA"/>
    <w:rsid w:val="69231B0C"/>
    <w:rsid w:val="69371D49"/>
    <w:rsid w:val="69422EE0"/>
    <w:rsid w:val="69434B73"/>
    <w:rsid w:val="69474952"/>
    <w:rsid w:val="694C596E"/>
    <w:rsid w:val="6950151D"/>
    <w:rsid w:val="695B0859"/>
    <w:rsid w:val="69624302"/>
    <w:rsid w:val="69634E03"/>
    <w:rsid w:val="69716F3A"/>
    <w:rsid w:val="69757DA2"/>
    <w:rsid w:val="69797C2C"/>
    <w:rsid w:val="697A4E6A"/>
    <w:rsid w:val="69822CEE"/>
    <w:rsid w:val="69843527"/>
    <w:rsid w:val="6985211D"/>
    <w:rsid w:val="69893889"/>
    <w:rsid w:val="699D66A3"/>
    <w:rsid w:val="699E5043"/>
    <w:rsid w:val="69A972D7"/>
    <w:rsid w:val="69AE30A5"/>
    <w:rsid w:val="69AF0EB6"/>
    <w:rsid w:val="69B17FD9"/>
    <w:rsid w:val="69B645B2"/>
    <w:rsid w:val="69BA03C1"/>
    <w:rsid w:val="69CC5D8E"/>
    <w:rsid w:val="69D009DD"/>
    <w:rsid w:val="69D11F8E"/>
    <w:rsid w:val="69DB6D68"/>
    <w:rsid w:val="69E22D0E"/>
    <w:rsid w:val="69E505FB"/>
    <w:rsid w:val="69EE6502"/>
    <w:rsid w:val="69FD1FC2"/>
    <w:rsid w:val="69FF7F54"/>
    <w:rsid w:val="6A013A96"/>
    <w:rsid w:val="6A023334"/>
    <w:rsid w:val="6A151613"/>
    <w:rsid w:val="6A1D436F"/>
    <w:rsid w:val="6A1E6ABE"/>
    <w:rsid w:val="6A233AE5"/>
    <w:rsid w:val="6A292471"/>
    <w:rsid w:val="6A2B5514"/>
    <w:rsid w:val="6A307508"/>
    <w:rsid w:val="6A33145C"/>
    <w:rsid w:val="6A340F57"/>
    <w:rsid w:val="6A352625"/>
    <w:rsid w:val="6A480E89"/>
    <w:rsid w:val="6A4A0894"/>
    <w:rsid w:val="6A572134"/>
    <w:rsid w:val="6A5860D2"/>
    <w:rsid w:val="6A5F27C6"/>
    <w:rsid w:val="6A640B8A"/>
    <w:rsid w:val="6A722F6A"/>
    <w:rsid w:val="6A76520A"/>
    <w:rsid w:val="6A771511"/>
    <w:rsid w:val="6A7A0A27"/>
    <w:rsid w:val="6A7C79CE"/>
    <w:rsid w:val="6A874E88"/>
    <w:rsid w:val="6A9C213D"/>
    <w:rsid w:val="6AA11204"/>
    <w:rsid w:val="6AA5436E"/>
    <w:rsid w:val="6AA84AEF"/>
    <w:rsid w:val="6AAB1FFE"/>
    <w:rsid w:val="6AAB37F8"/>
    <w:rsid w:val="6AAB7931"/>
    <w:rsid w:val="6AC82903"/>
    <w:rsid w:val="6AC854DD"/>
    <w:rsid w:val="6AD07BFE"/>
    <w:rsid w:val="6AD514FD"/>
    <w:rsid w:val="6ADA1594"/>
    <w:rsid w:val="6AE368DE"/>
    <w:rsid w:val="6AE468C4"/>
    <w:rsid w:val="6AFB4E1D"/>
    <w:rsid w:val="6B047C64"/>
    <w:rsid w:val="6B18772A"/>
    <w:rsid w:val="6B1B4D33"/>
    <w:rsid w:val="6B1E3C9B"/>
    <w:rsid w:val="6B226786"/>
    <w:rsid w:val="6B337C49"/>
    <w:rsid w:val="6B3416F8"/>
    <w:rsid w:val="6B3F01CC"/>
    <w:rsid w:val="6B417DDF"/>
    <w:rsid w:val="6B4F5FEE"/>
    <w:rsid w:val="6B53760B"/>
    <w:rsid w:val="6B5729CE"/>
    <w:rsid w:val="6B5851D6"/>
    <w:rsid w:val="6B5B194D"/>
    <w:rsid w:val="6B657CB8"/>
    <w:rsid w:val="6B6B5958"/>
    <w:rsid w:val="6B6C7AC2"/>
    <w:rsid w:val="6B6E4CB6"/>
    <w:rsid w:val="6B7231A0"/>
    <w:rsid w:val="6B764D4B"/>
    <w:rsid w:val="6B772420"/>
    <w:rsid w:val="6B7A3F9D"/>
    <w:rsid w:val="6B827353"/>
    <w:rsid w:val="6BA15E85"/>
    <w:rsid w:val="6BB57B9D"/>
    <w:rsid w:val="6BCD4485"/>
    <w:rsid w:val="6BE105BB"/>
    <w:rsid w:val="6BE437C0"/>
    <w:rsid w:val="6BEB7E07"/>
    <w:rsid w:val="6BF116B6"/>
    <w:rsid w:val="6BF52B32"/>
    <w:rsid w:val="6BFC226D"/>
    <w:rsid w:val="6BFC5A9A"/>
    <w:rsid w:val="6C001B2C"/>
    <w:rsid w:val="6C013589"/>
    <w:rsid w:val="6C0300DB"/>
    <w:rsid w:val="6C081E81"/>
    <w:rsid w:val="6C144697"/>
    <w:rsid w:val="6C161109"/>
    <w:rsid w:val="6C1A2C14"/>
    <w:rsid w:val="6C1E4EC4"/>
    <w:rsid w:val="6C210515"/>
    <w:rsid w:val="6C25522C"/>
    <w:rsid w:val="6C32400D"/>
    <w:rsid w:val="6C337889"/>
    <w:rsid w:val="6C357A74"/>
    <w:rsid w:val="6C375BE9"/>
    <w:rsid w:val="6C381312"/>
    <w:rsid w:val="6C393828"/>
    <w:rsid w:val="6C4920B2"/>
    <w:rsid w:val="6C4D4B42"/>
    <w:rsid w:val="6C4E6DC1"/>
    <w:rsid w:val="6C6435BC"/>
    <w:rsid w:val="6C6C19CD"/>
    <w:rsid w:val="6C72269C"/>
    <w:rsid w:val="6C792346"/>
    <w:rsid w:val="6C8E74B5"/>
    <w:rsid w:val="6C921F88"/>
    <w:rsid w:val="6C972779"/>
    <w:rsid w:val="6C9B2A9C"/>
    <w:rsid w:val="6C9F2E19"/>
    <w:rsid w:val="6CA0075C"/>
    <w:rsid w:val="6CB9353A"/>
    <w:rsid w:val="6CBF2AC1"/>
    <w:rsid w:val="6CC51CD9"/>
    <w:rsid w:val="6CC939EC"/>
    <w:rsid w:val="6CCF0DC2"/>
    <w:rsid w:val="6CD3770C"/>
    <w:rsid w:val="6CD73968"/>
    <w:rsid w:val="6CDB221F"/>
    <w:rsid w:val="6CDB23BF"/>
    <w:rsid w:val="6CE66F28"/>
    <w:rsid w:val="6CE83DE2"/>
    <w:rsid w:val="6CEC3BA7"/>
    <w:rsid w:val="6CED3584"/>
    <w:rsid w:val="6CF71D7B"/>
    <w:rsid w:val="6CF73DD1"/>
    <w:rsid w:val="6CFC2A23"/>
    <w:rsid w:val="6CFD459A"/>
    <w:rsid w:val="6D0B0145"/>
    <w:rsid w:val="6D0B77C0"/>
    <w:rsid w:val="6D184E43"/>
    <w:rsid w:val="6D2A4C7C"/>
    <w:rsid w:val="6D303E55"/>
    <w:rsid w:val="6D304E75"/>
    <w:rsid w:val="6D375ECF"/>
    <w:rsid w:val="6D3B1836"/>
    <w:rsid w:val="6D3F18FA"/>
    <w:rsid w:val="6D4D20E9"/>
    <w:rsid w:val="6D504B6C"/>
    <w:rsid w:val="6D506C3D"/>
    <w:rsid w:val="6D5348B8"/>
    <w:rsid w:val="6D585A4E"/>
    <w:rsid w:val="6D634C12"/>
    <w:rsid w:val="6D6B15AD"/>
    <w:rsid w:val="6D6C7D41"/>
    <w:rsid w:val="6D6D23E0"/>
    <w:rsid w:val="6D6F1F57"/>
    <w:rsid w:val="6D7560ED"/>
    <w:rsid w:val="6D767B38"/>
    <w:rsid w:val="6D802F9D"/>
    <w:rsid w:val="6D8F32E2"/>
    <w:rsid w:val="6D9274FA"/>
    <w:rsid w:val="6D990439"/>
    <w:rsid w:val="6D9C0386"/>
    <w:rsid w:val="6DA319FC"/>
    <w:rsid w:val="6DA867B8"/>
    <w:rsid w:val="6DB00901"/>
    <w:rsid w:val="6DB14284"/>
    <w:rsid w:val="6DB825D4"/>
    <w:rsid w:val="6DCB5D27"/>
    <w:rsid w:val="6DCC0F93"/>
    <w:rsid w:val="6DD1687F"/>
    <w:rsid w:val="6DDE12AF"/>
    <w:rsid w:val="6DDE5BC3"/>
    <w:rsid w:val="6DE159F2"/>
    <w:rsid w:val="6DE50FFB"/>
    <w:rsid w:val="6DE57BBE"/>
    <w:rsid w:val="6DE91AC4"/>
    <w:rsid w:val="6DEC463E"/>
    <w:rsid w:val="6DF07A20"/>
    <w:rsid w:val="6DF754E0"/>
    <w:rsid w:val="6DFD7DAF"/>
    <w:rsid w:val="6DFF137D"/>
    <w:rsid w:val="6E0251E1"/>
    <w:rsid w:val="6E1D6B26"/>
    <w:rsid w:val="6E217330"/>
    <w:rsid w:val="6E27144B"/>
    <w:rsid w:val="6E2C0D10"/>
    <w:rsid w:val="6E354B30"/>
    <w:rsid w:val="6E360559"/>
    <w:rsid w:val="6E4D280A"/>
    <w:rsid w:val="6E5137C9"/>
    <w:rsid w:val="6E6523A7"/>
    <w:rsid w:val="6E6577CD"/>
    <w:rsid w:val="6E6E6C00"/>
    <w:rsid w:val="6E76413D"/>
    <w:rsid w:val="6E812F68"/>
    <w:rsid w:val="6E8135FF"/>
    <w:rsid w:val="6E830A2B"/>
    <w:rsid w:val="6E86126F"/>
    <w:rsid w:val="6E8B6899"/>
    <w:rsid w:val="6E8F5627"/>
    <w:rsid w:val="6E934E68"/>
    <w:rsid w:val="6E957BF0"/>
    <w:rsid w:val="6E9A528B"/>
    <w:rsid w:val="6E9E7E9E"/>
    <w:rsid w:val="6EAD0E36"/>
    <w:rsid w:val="6EB532BE"/>
    <w:rsid w:val="6EBD65B3"/>
    <w:rsid w:val="6EC40B4E"/>
    <w:rsid w:val="6EC42C0F"/>
    <w:rsid w:val="6ED37179"/>
    <w:rsid w:val="6EE05154"/>
    <w:rsid w:val="6EE93C40"/>
    <w:rsid w:val="6EEA03F2"/>
    <w:rsid w:val="6EFC4AF1"/>
    <w:rsid w:val="6F0C18C8"/>
    <w:rsid w:val="6F26381C"/>
    <w:rsid w:val="6F280832"/>
    <w:rsid w:val="6F2E0EED"/>
    <w:rsid w:val="6F3478BB"/>
    <w:rsid w:val="6F4153F3"/>
    <w:rsid w:val="6F4463A8"/>
    <w:rsid w:val="6F4A4BCF"/>
    <w:rsid w:val="6F58609D"/>
    <w:rsid w:val="6F5E0E69"/>
    <w:rsid w:val="6F6716D3"/>
    <w:rsid w:val="6F6C0E42"/>
    <w:rsid w:val="6F6C6DAE"/>
    <w:rsid w:val="6F7B3EDC"/>
    <w:rsid w:val="6F7C3F56"/>
    <w:rsid w:val="6F847C2E"/>
    <w:rsid w:val="6F8E13A1"/>
    <w:rsid w:val="6F8E4282"/>
    <w:rsid w:val="6F8E7202"/>
    <w:rsid w:val="6F990986"/>
    <w:rsid w:val="6F9C0EDB"/>
    <w:rsid w:val="6F9E4761"/>
    <w:rsid w:val="6F9E7198"/>
    <w:rsid w:val="6FA04710"/>
    <w:rsid w:val="6FA136C6"/>
    <w:rsid w:val="6FA1396F"/>
    <w:rsid w:val="6FC170B5"/>
    <w:rsid w:val="6FC66ECC"/>
    <w:rsid w:val="6FCD6BA5"/>
    <w:rsid w:val="6FD74AB8"/>
    <w:rsid w:val="6FDD5A68"/>
    <w:rsid w:val="6FE16B44"/>
    <w:rsid w:val="6FED26F6"/>
    <w:rsid w:val="6FF33BC0"/>
    <w:rsid w:val="6FFF274E"/>
    <w:rsid w:val="6FFFE6F2"/>
    <w:rsid w:val="700249D6"/>
    <w:rsid w:val="700F2590"/>
    <w:rsid w:val="70132992"/>
    <w:rsid w:val="70163394"/>
    <w:rsid w:val="702026DF"/>
    <w:rsid w:val="70232BE2"/>
    <w:rsid w:val="702860E7"/>
    <w:rsid w:val="702A27C5"/>
    <w:rsid w:val="703461AB"/>
    <w:rsid w:val="70372650"/>
    <w:rsid w:val="70400D63"/>
    <w:rsid w:val="70414EEF"/>
    <w:rsid w:val="70471DDC"/>
    <w:rsid w:val="704A7F40"/>
    <w:rsid w:val="704C4D35"/>
    <w:rsid w:val="704C76D5"/>
    <w:rsid w:val="704F0C5B"/>
    <w:rsid w:val="705213E9"/>
    <w:rsid w:val="70587970"/>
    <w:rsid w:val="705A1486"/>
    <w:rsid w:val="70793DE4"/>
    <w:rsid w:val="707B40DE"/>
    <w:rsid w:val="707F0897"/>
    <w:rsid w:val="7082372E"/>
    <w:rsid w:val="70883A5B"/>
    <w:rsid w:val="708D2431"/>
    <w:rsid w:val="70A0456C"/>
    <w:rsid w:val="70AF3722"/>
    <w:rsid w:val="70B37ABB"/>
    <w:rsid w:val="70BE43E2"/>
    <w:rsid w:val="70BF33F7"/>
    <w:rsid w:val="70C86BBA"/>
    <w:rsid w:val="70CB523F"/>
    <w:rsid w:val="70DA7694"/>
    <w:rsid w:val="70E63BD2"/>
    <w:rsid w:val="70E72F14"/>
    <w:rsid w:val="70EA6DCA"/>
    <w:rsid w:val="70EB29FB"/>
    <w:rsid w:val="70EE7958"/>
    <w:rsid w:val="70FA6866"/>
    <w:rsid w:val="7103592E"/>
    <w:rsid w:val="71052A55"/>
    <w:rsid w:val="710879B3"/>
    <w:rsid w:val="71156F2F"/>
    <w:rsid w:val="711C08E7"/>
    <w:rsid w:val="712629B7"/>
    <w:rsid w:val="712A243E"/>
    <w:rsid w:val="712A4555"/>
    <w:rsid w:val="713045ED"/>
    <w:rsid w:val="71365F8B"/>
    <w:rsid w:val="71372976"/>
    <w:rsid w:val="7137376B"/>
    <w:rsid w:val="71383EAD"/>
    <w:rsid w:val="71430B61"/>
    <w:rsid w:val="715A0054"/>
    <w:rsid w:val="715D2560"/>
    <w:rsid w:val="716D04E4"/>
    <w:rsid w:val="716F5515"/>
    <w:rsid w:val="717F4C33"/>
    <w:rsid w:val="7181500C"/>
    <w:rsid w:val="718235D5"/>
    <w:rsid w:val="718A5FAF"/>
    <w:rsid w:val="718B5197"/>
    <w:rsid w:val="71900AD7"/>
    <w:rsid w:val="71903097"/>
    <w:rsid w:val="71912074"/>
    <w:rsid w:val="71A2561F"/>
    <w:rsid w:val="71A7421A"/>
    <w:rsid w:val="71B30AFE"/>
    <w:rsid w:val="71B55F74"/>
    <w:rsid w:val="71B70F25"/>
    <w:rsid w:val="71BA539A"/>
    <w:rsid w:val="71BB72B9"/>
    <w:rsid w:val="71BF63C8"/>
    <w:rsid w:val="71C349C8"/>
    <w:rsid w:val="71C539B6"/>
    <w:rsid w:val="71C75B4D"/>
    <w:rsid w:val="71D539E7"/>
    <w:rsid w:val="71EE7977"/>
    <w:rsid w:val="71EF1579"/>
    <w:rsid w:val="71F91AE7"/>
    <w:rsid w:val="71FE62E0"/>
    <w:rsid w:val="720B24BD"/>
    <w:rsid w:val="721009F3"/>
    <w:rsid w:val="72110AF2"/>
    <w:rsid w:val="72197060"/>
    <w:rsid w:val="721F1A17"/>
    <w:rsid w:val="72263F1B"/>
    <w:rsid w:val="7228423B"/>
    <w:rsid w:val="722D53BA"/>
    <w:rsid w:val="722E2831"/>
    <w:rsid w:val="723121FB"/>
    <w:rsid w:val="723415F0"/>
    <w:rsid w:val="7250106C"/>
    <w:rsid w:val="72552DBD"/>
    <w:rsid w:val="726B0FA3"/>
    <w:rsid w:val="726C0492"/>
    <w:rsid w:val="7271238B"/>
    <w:rsid w:val="7272078E"/>
    <w:rsid w:val="7272438B"/>
    <w:rsid w:val="727870F2"/>
    <w:rsid w:val="727F6DEC"/>
    <w:rsid w:val="72844795"/>
    <w:rsid w:val="72952638"/>
    <w:rsid w:val="729A136D"/>
    <w:rsid w:val="729F3AAF"/>
    <w:rsid w:val="729F6401"/>
    <w:rsid w:val="72A215A0"/>
    <w:rsid w:val="72A341CC"/>
    <w:rsid w:val="72A8141C"/>
    <w:rsid w:val="72AB1961"/>
    <w:rsid w:val="72B130F2"/>
    <w:rsid w:val="72B24DFE"/>
    <w:rsid w:val="72BF14FB"/>
    <w:rsid w:val="72C41010"/>
    <w:rsid w:val="72C5219D"/>
    <w:rsid w:val="72CB4C6C"/>
    <w:rsid w:val="72CD2576"/>
    <w:rsid w:val="72D47A51"/>
    <w:rsid w:val="72E40776"/>
    <w:rsid w:val="72E4092D"/>
    <w:rsid w:val="72E46F5D"/>
    <w:rsid w:val="72E5674F"/>
    <w:rsid w:val="72EE3BF5"/>
    <w:rsid w:val="72EF12E0"/>
    <w:rsid w:val="72F31532"/>
    <w:rsid w:val="72F40614"/>
    <w:rsid w:val="72F976D8"/>
    <w:rsid w:val="73013779"/>
    <w:rsid w:val="73037DAD"/>
    <w:rsid w:val="7309526A"/>
    <w:rsid w:val="730B55BA"/>
    <w:rsid w:val="731E3876"/>
    <w:rsid w:val="732007C1"/>
    <w:rsid w:val="73256E4D"/>
    <w:rsid w:val="73285C57"/>
    <w:rsid w:val="732B2A48"/>
    <w:rsid w:val="73303038"/>
    <w:rsid w:val="73355CD2"/>
    <w:rsid w:val="7336321E"/>
    <w:rsid w:val="733923E2"/>
    <w:rsid w:val="734353B9"/>
    <w:rsid w:val="73482B6E"/>
    <w:rsid w:val="73512180"/>
    <w:rsid w:val="735E4C3B"/>
    <w:rsid w:val="73642030"/>
    <w:rsid w:val="737D0ED5"/>
    <w:rsid w:val="737F549A"/>
    <w:rsid w:val="738521D0"/>
    <w:rsid w:val="738946F3"/>
    <w:rsid w:val="738F76C2"/>
    <w:rsid w:val="739678D9"/>
    <w:rsid w:val="739B2381"/>
    <w:rsid w:val="73A33343"/>
    <w:rsid w:val="73A92061"/>
    <w:rsid w:val="73B04D87"/>
    <w:rsid w:val="73B20AA4"/>
    <w:rsid w:val="73B3743D"/>
    <w:rsid w:val="73B40001"/>
    <w:rsid w:val="73B464B8"/>
    <w:rsid w:val="73BD28C0"/>
    <w:rsid w:val="73BF0AC4"/>
    <w:rsid w:val="73D35F15"/>
    <w:rsid w:val="73D42C49"/>
    <w:rsid w:val="73D858E3"/>
    <w:rsid w:val="73DC4E54"/>
    <w:rsid w:val="73E04605"/>
    <w:rsid w:val="73E077FE"/>
    <w:rsid w:val="73E37406"/>
    <w:rsid w:val="73FC1C53"/>
    <w:rsid w:val="73FD44FA"/>
    <w:rsid w:val="73FE55A5"/>
    <w:rsid w:val="740D4CB8"/>
    <w:rsid w:val="740D77F5"/>
    <w:rsid w:val="741503E9"/>
    <w:rsid w:val="74265823"/>
    <w:rsid w:val="742E12D4"/>
    <w:rsid w:val="742E7BBF"/>
    <w:rsid w:val="743A00B4"/>
    <w:rsid w:val="743A0F83"/>
    <w:rsid w:val="7443173E"/>
    <w:rsid w:val="74484090"/>
    <w:rsid w:val="74495B7D"/>
    <w:rsid w:val="744D377C"/>
    <w:rsid w:val="744E1A17"/>
    <w:rsid w:val="744F2116"/>
    <w:rsid w:val="745851F8"/>
    <w:rsid w:val="745D0A4B"/>
    <w:rsid w:val="746C2AD2"/>
    <w:rsid w:val="746C57AC"/>
    <w:rsid w:val="746D0CD9"/>
    <w:rsid w:val="747E5F41"/>
    <w:rsid w:val="74822D78"/>
    <w:rsid w:val="74851078"/>
    <w:rsid w:val="748F0814"/>
    <w:rsid w:val="74916C0A"/>
    <w:rsid w:val="74A35C3A"/>
    <w:rsid w:val="74A61782"/>
    <w:rsid w:val="74A64B9F"/>
    <w:rsid w:val="74A83EFD"/>
    <w:rsid w:val="74AC1746"/>
    <w:rsid w:val="74B5229A"/>
    <w:rsid w:val="74B62C36"/>
    <w:rsid w:val="74BA65AF"/>
    <w:rsid w:val="74C14D83"/>
    <w:rsid w:val="74C524E5"/>
    <w:rsid w:val="74CB14F1"/>
    <w:rsid w:val="74CC54EC"/>
    <w:rsid w:val="74CE3B36"/>
    <w:rsid w:val="74E2227D"/>
    <w:rsid w:val="74E427C7"/>
    <w:rsid w:val="74E63CA8"/>
    <w:rsid w:val="74FA0379"/>
    <w:rsid w:val="74FA667C"/>
    <w:rsid w:val="75007EFF"/>
    <w:rsid w:val="751560BB"/>
    <w:rsid w:val="75165F4C"/>
    <w:rsid w:val="751E6081"/>
    <w:rsid w:val="753A234C"/>
    <w:rsid w:val="7549020D"/>
    <w:rsid w:val="754B2619"/>
    <w:rsid w:val="755C1BC9"/>
    <w:rsid w:val="755C724B"/>
    <w:rsid w:val="756B2C4C"/>
    <w:rsid w:val="756E24C2"/>
    <w:rsid w:val="758F76FC"/>
    <w:rsid w:val="75931E2C"/>
    <w:rsid w:val="75933254"/>
    <w:rsid w:val="75993B1E"/>
    <w:rsid w:val="75A35091"/>
    <w:rsid w:val="75B675BF"/>
    <w:rsid w:val="75B95552"/>
    <w:rsid w:val="75D27928"/>
    <w:rsid w:val="75DE4945"/>
    <w:rsid w:val="75E946F0"/>
    <w:rsid w:val="75F51208"/>
    <w:rsid w:val="75F92EB6"/>
    <w:rsid w:val="760152A1"/>
    <w:rsid w:val="76113149"/>
    <w:rsid w:val="761656BA"/>
    <w:rsid w:val="7634513C"/>
    <w:rsid w:val="763E682E"/>
    <w:rsid w:val="76433DB4"/>
    <w:rsid w:val="764C4657"/>
    <w:rsid w:val="764D6883"/>
    <w:rsid w:val="76536B52"/>
    <w:rsid w:val="765A11E5"/>
    <w:rsid w:val="765B3E79"/>
    <w:rsid w:val="76675AE9"/>
    <w:rsid w:val="76696DDC"/>
    <w:rsid w:val="76720651"/>
    <w:rsid w:val="7673502E"/>
    <w:rsid w:val="767F2A5C"/>
    <w:rsid w:val="76867606"/>
    <w:rsid w:val="76880F2C"/>
    <w:rsid w:val="768B0186"/>
    <w:rsid w:val="768B1C93"/>
    <w:rsid w:val="769105D2"/>
    <w:rsid w:val="769165BB"/>
    <w:rsid w:val="76921BA8"/>
    <w:rsid w:val="76967BBA"/>
    <w:rsid w:val="769841FD"/>
    <w:rsid w:val="769A5E24"/>
    <w:rsid w:val="769D0793"/>
    <w:rsid w:val="76A20E02"/>
    <w:rsid w:val="76A41437"/>
    <w:rsid w:val="76A67F23"/>
    <w:rsid w:val="76A97992"/>
    <w:rsid w:val="76AA1591"/>
    <w:rsid w:val="76B42597"/>
    <w:rsid w:val="76B84F7A"/>
    <w:rsid w:val="76BB2ED2"/>
    <w:rsid w:val="76BF59E4"/>
    <w:rsid w:val="76C347C9"/>
    <w:rsid w:val="76C8106A"/>
    <w:rsid w:val="76C87F7E"/>
    <w:rsid w:val="76D00FDC"/>
    <w:rsid w:val="76D44188"/>
    <w:rsid w:val="76DB4F54"/>
    <w:rsid w:val="76DD5DF9"/>
    <w:rsid w:val="76DF6B37"/>
    <w:rsid w:val="76F27BB6"/>
    <w:rsid w:val="76FF4234"/>
    <w:rsid w:val="77160110"/>
    <w:rsid w:val="77267215"/>
    <w:rsid w:val="772B6C70"/>
    <w:rsid w:val="772C5CB8"/>
    <w:rsid w:val="773518A8"/>
    <w:rsid w:val="77433480"/>
    <w:rsid w:val="77435329"/>
    <w:rsid w:val="77443393"/>
    <w:rsid w:val="774B3F33"/>
    <w:rsid w:val="774C2FD4"/>
    <w:rsid w:val="775C4ED1"/>
    <w:rsid w:val="77762C15"/>
    <w:rsid w:val="777C01B6"/>
    <w:rsid w:val="777C7568"/>
    <w:rsid w:val="777D37B3"/>
    <w:rsid w:val="77844958"/>
    <w:rsid w:val="77877BD8"/>
    <w:rsid w:val="77890687"/>
    <w:rsid w:val="778B060A"/>
    <w:rsid w:val="778D0E70"/>
    <w:rsid w:val="77920CAC"/>
    <w:rsid w:val="77957E90"/>
    <w:rsid w:val="779608B1"/>
    <w:rsid w:val="77AF2126"/>
    <w:rsid w:val="77AF2FDF"/>
    <w:rsid w:val="77BB317F"/>
    <w:rsid w:val="77C47D08"/>
    <w:rsid w:val="77CD18A4"/>
    <w:rsid w:val="77D04452"/>
    <w:rsid w:val="77D41952"/>
    <w:rsid w:val="77D646B3"/>
    <w:rsid w:val="77DA45AA"/>
    <w:rsid w:val="77DA618C"/>
    <w:rsid w:val="77E07549"/>
    <w:rsid w:val="77E64A52"/>
    <w:rsid w:val="77EE0AE2"/>
    <w:rsid w:val="77F4AD7B"/>
    <w:rsid w:val="77F72368"/>
    <w:rsid w:val="77FB48C7"/>
    <w:rsid w:val="77FD2D80"/>
    <w:rsid w:val="78070056"/>
    <w:rsid w:val="780E3CFB"/>
    <w:rsid w:val="78104B70"/>
    <w:rsid w:val="78110D00"/>
    <w:rsid w:val="781B3C19"/>
    <w:rsid w:val="781C4EEF"/>
    <w:rsid w:val="781C6C86"/>
    <w:rsid w:val="781F516D"/>
    <w:rsid w:val="781F6E33"/>
    <w:rsid w:val="78296ED3"/>
    <w:rsid w:val="782A498E"/>
    <w:rsid w:val="783D4BB9"/>
    <w:rsid w:val="783E1BE4"/>
    <w:rsid w:val="78417232"/>
    <w:rsid w:val="78431691"/>
    <w:rsid w:val="78503129"/>
    <w:rsid w:val="78512DE5"/>
    <w:rsid w:val="78520B14"/>
    <w:rsid w:val="78521720"/>
    <w:rsid w:val="7854746F"/>
    <w:rsid w:val="785E41D7"/>
    <w:rsid w:val="786061D4"/>
    <w:rsid w:val="786335EB"/>
    <w:rsid w:val="78712E3F"/>
    <w:rsid w:val="788146C9"/>
    <w:rsid w:val="78862AA4"/>
    <w:rsid w:val="788B2857"/>
    <w:rsid w:val="788B4C8F"/>
    <w:rsid w:val="788D58B5"/>
    <w:rsid w:val="788E6731"/>
    <w:rsid w:val="78904CBD"/>
    <w:rsid w:val="78957033"/>
    <w:rsid w:val="7898093B"/>
    <w:rsid w:val="7899024B"/>
    <w:rsid w:val="789E65DE"/>
    <w:rsid w:val="78A027B1"/>
    <w:rsid w:val="78AD314F"/>
    <w:rsid w:val="78AE643A"/>
    <w:rsid w:val="78D432AE"/>
    <w:rsid w:val="78D91C96"/>
    <w:rsid w:val="78D92F1C"/>
    <w:rsid w:val="78DE4DD2"/>
    <w:rsid w:val="78DF76C5"/>
    <w:rsid w:val="78EC0492"/>
    <w:rsid w:val="790244E5"/>
    <w:rsid w:val="79057E93"/>
    <w:rsid w:val="790902D2"/>
    <w:rsid w:val="791403C6"/>
    <w:rsid w:val="791430B9"/>
    <w:rsid w:val="7919747D"/>
    <w:rsid w:val="791B1C83"/>
    <w:rsid w:val="791E3B1B"/>
    <w:rsid w:val="792239AB"/>
    <w:rsid w:val="792335EA"/>
    <w:rsid w:val="79287688"/>
    <w:rsid w:val="792B42C3"/>
    <w:rsid w:val="793B25D6"/>
    <w:rsid w:val="793B5CD3"/>
    <w:rsid w:val="793F36FA"/>
    <w:rsid w:val="794500F1"/>
    <w:rsid w:val="794B48E8"/>
    <w:rsid w:val="795E52A8"/>
    <w:rsid w:val="79675F4B"/>
    <w:rsid w:val="7968203E"/>
    <w:rsid w:val="796948C6"/>
    <w:rsid w:val="797207DB"/>
    <w:rsid w:val="79731E4D"/>
    <w:rsid w:val="797D4BAB"/>
    <w:rsid w:val="79891E64"/>
    <w:rsid w:val="79903B9E"/>
    <w:rsid w:val="7992605B"/>
    <w:rsid w:val="799A31CF"/>
    <w:rsid w:val="799E0E3B"/>
    <w:rsid w:val="79B84C10"/>
    <w:rsid w:val="79BA17E4"/>
    <w:rsid w:val="79BD1746"/>
    <w:rsid w:val="79BD1A60"/>
    <w:rsid w:val="79BD4C39"/>
    <w:rsid w:val="79C43E58"/>
    <w:rsid w:val="79C66CE5"/>
    <w:rsid w:val="79C859AB"/>
    <w:rsid w:val="79CE693A"/>
    <w:rsid w:val="79DC154F"/>
    <w:rsid w:val="79F56560"/>
    <w:rsid w:val="7A066D60"/>
    <w:rsid w:val="7A067274"/>
    <w:rsid w:val="7A262840"/>
    <w:rsid w:val="7A383A9C"/>
    <w:rsid w:val="7A3A6BDB"/>
    <w:rsid w:val="7A3E1E86"/>
    <w:rsid w:val="7A420D66"/>
    <w:rsid w:val="7A4E6EAB"/>
    <w:rsid w:val="7A596ACD"/>
    <w:rsid w:val="7A686939"/>
    <w:rsid w:val="7A6A40A9"/>
    <w:rsid w:val="7A6B4F43"/>
    <w:rsid w:val="7A6B6AF1"/>
    <w:rsid w:val="7A6F7E38"/>
    <w:rsid w:val="7A726D01"/>
    <w:rsid w:val="7A7909D3"/>
    <w:rsid w:val="7A7A00A1"/>
    <w:rsid w:val="7A7D240C"/>
    <w:rsid w:val="7A886D1A"/>
    <w:rsid w:val="7A8F7EEB"/>
    <w:rsid w:val="7A9932D3"/>
    <w:rsid w:val="7AA717B8"/>
    <w:rsid w:val="7AB27E46"/>
    <w:rsid w:val="7AD46941"/>
    <w:rsid w:val="7AD601CA"/>
    <w:rsid w:val="7AE77CFC"/>
    <w:rsid w:val="7AF00DE1"/>
    <w:rsid w:val="7AF01AA6"/>
    <w:rsid w:val="7AF40420"/>
    <w:rsid w:val="7AF97888"/>
    <w:rsid w:val="7AFC3E59"/>
    <w:rsid w:val="7AFC56D0"/>
    <w:rsid w:val="7B0B6FF2"/>
    <w:rsid w:val="7B1B5378"/>
    <w:rsid w:val="7B1E0BA4"/>
    <w:rsid w:val="7B253506"/>
    <w:rsid w:val="7B2C19B7"/>
    <w:rsid w:val="7B385ABF"/>
    <w:rsid w:val="7B3D6856"/>
    <w:rsid w:val="7B445F94"/>
    <w:rsid w:val="7B4D51C4"/>
    <w:rsid w:val="7B5B94E8"/>
    <w:rsid w:val="7B611CB5"/>
    <w:rsid w:val="7B6E1E46"/>
    <w:rsid w:val="7B704444"/>
    <w:rsid w:val="7B7359A8"/>
    <w:rsid w:val="7B743C75"/>
    <w:rsid w:val="7B8B12DB"/>
    <w:rsid w:val="7B8B71A9"/>
    <w:rsid w:val="7B8C7083"/>
    <w:rsid w:val="7B8F138F"/>
    <w:rsid w:val="7B914877"/>
    <w:rsid w:val="7B916F71"/>
    <w:rsid w:val="7B991033"/>
    <w:rsid w:val="7BAA3738"/>
    <w:rsid w:val="7BAD46AA"/>
    <w:rsid w:val="7BB4051D"/>
    <w:rsid w:val="7BBF2B35"/>
    <w:rsid w:val="7BC471A2"/>
    <w:rsid w:val="7BC830F2"/>
    <w:rsid w:val="7BCF3FB5"/>
    <w:rsid w:val="7BD478C6"/>
    <w:rsid w:val="7BDB3B2A"/>
    <w:rsid w:val="7BE311D3"/>
    <w:rsid w:val="7BE4557D"/>
    <w:rsid w:val="7BE75339"/>
    <w:rsid w:val="7BF30590"/>
    <w:rsid w:val="7BF46964"/>
    <w:rsid w:val="7BF87FF9"/>
    <w:rsid w:val="7C0126C7"/>
    <w:rsid w:val="7C01570A"/>
    <w:rsid w:val="7C095C32"/>
    <w:rsid w:val="7C0D7F8A"/>
    <w:rsid w:val="7C122CFA"/>
    <w:rsid w:val="7C1E1273"/>
    <w:rsid w:val="7C254C59"/>
    <w:rsid w:val="7C2E4013"/>
    <w:rsid w:val="7C3030F1"/>
    <w:rsid w:val="7C304208"/>
    <w:rsid w:val="7C3640D5"/>
    <w:rsid w:val="7C3A3EA3"/>
    <w:rsid w:val="7C3B1478"/>
    <w:rsid w:val="7C3C67F5"/>
    <w:rsid w:val="7C3E2D3C"/>
    <w:rsid w:val="7C466C81"/>
    <w:rsid w:val="7C4B44EE"/>
    <w:rsid w:val="7C4F0A8D"/>
    <w:rsid w:val="7C4F278A"/>
    <w:rsid w:val="7C596CAD"/>
    <w:rsid w:val="7C5A755C"/>
    <w:rsid w:val="7C5C17A6"/>
    <w:rsid w:val="7C5D03E3"/>
    <w:rsid w:val="7C5D44A6"/>
    <w:rsid w:val="7C5E502C"/>
    <w:rsid w:val="7C606BC6"/>
    <w:rsid w:val="7C8B5884"/>
    <w:rsid w:val="7C8D7DB6"/>
    <w:rsid w:val="7C98399E"/>
    <w:rsid w:val="7CB109F2"/>
    <w:rsid w:val="7CB7092F"/>
    <w:rsid w:val="7CBD6B87"/>
    <w:rsid w:val="7CC87040"/>
    <w:rsid w:val="7CCD1BBA"/>
    <w:rsid w:val="7CD34114"/>
    <w:rsid w:val="7CD676CC"/>
    <w:rsid w:val="7CD8431D"/>
    <w:rsid w:val="7CE249F2"/>
    <w:rsid w:val="7CE6692C"/>
    <w:rsid w:val="7CF17DE1"/>
    <w:rsid w:val="7CF54128"/>
    <w:rsid w:val="7CFF3679"/>
    <w:rsid w:val="7D00036F"/>
    <w:rsid w:val="7D091B0D"/>
    <w:rsid w:val="7D1F2108"/>
    <w:rsid w:val="7D2E0078"/>
    <w:rsid w:val="7D3550B2"/>
    <w:rsid w:val="7D385B2C"/>
    <w:rsid w:val="7D3B176B"/>
    <w:rsid w:val="7D3E135E"/>
    <w:rsid w:val="7D486EC0"/>
    <w:rsid w:val="7D48789F"/>
    <w:rsid w:val="7D487F59"/>
    <w:rsid w:val="7D4F2F71"/>
    <w:rsid w:val="7D581859"/>
    <w:rsid w:val="7D611CA0"/>
    <w:rsid w:val="7D6246C1"/>
    <w:rsid w:val="7D7D2832"/>
    <w:rsid w:val="7D7D7827"/>
    <w:rsid w:val="7D8041EE"/>
    <w:rsid w:val="7D8274CA"/>
    <w:rsid w:val="7D840FBD"/>
    <w:rsid w:val="7D857908"/>
    <w:rsid w:val="7D8C05E9"/>
    <w:rsid w:val="7D8F2417"/>
    <w:rsid w:val="7D9362F0"/>
    <w:rsid w:val="7D94273B"/>
    <w:rsid w:val="7D9661EE"/>
    <w:rsid w:val="7D9D079E"/>
    <w:rsid w:val="7D9D1291"/>
    <w:rsid w:val="7DA37E03"/>
    <w:rsid w:val="7DA65F0C"/>
    <w:rsid w:val="7DA86469"/>
    <w:rsid w:val="7DAD0A8D"/>
    <w:rsid w:val="7DB51D20"/>
    <w:rsid w:val="7DC0720D"/>
    <w:rsid w:val="7DC14389"/>
    <w:rsid w:val="7DC66901"/>
    <w:rsid w:val="7DCF2E20"/>
    <w:rsid w:val="7DE718D5"/>
    <w:rsid w:val="7DE9723A"/>
    <w:rsid w:val="7DF11C76"/>
    <w:rsid w:val="7DF622E7"/>
    <w:rsid w:val="7E0E7161"/>
    <w:rsid w:val="7E135004"/>
    <w:rsid w:val="7E16130F"/>
    <w:rsid w:val="7E187EFD"/>
    <w:rsid w:val="7E1939CF"/>
    <w:rsid w:val="7E1C08DF"/>
    <w:rsid w:val="7E260F64"/>
    <w:rsid w:val="7E324A45"/>
    <w:rsid w:val="7E3819E1"/>
    <w:rsid w:val="7E390E9C"/>
    <w:rsid w:val="7E4826E3"/>
    <w:rsid w:val="7E551CB1"/>
    <w:rsid w:val="7E572004"/>
    <w:rsid w:val="7E5868EB"/>
    <w:rsid w:val="7E5B730D"/>
    <w:rsid w:val="7E5C5A2E"/>
    <w:rsid w:val="7E612B23"/>
    <w:rsid w:val="7E694EAA"/>
    <w:rsid w:val="7E777226"/>
    <w:rsid w:val="7E7918C4"/>
    <w:rsid w:val="7E7A31E1"/>
    <w:rsid w:val="7E8D6D4B"/>
    <w:rsid w:val="7E9210B9"/>
    <w:rsid w:val="7EA810B1"/>
    <w:rsid w:val="7EA874B2"/>
    <w:rsid w:val="7EAB5ECA"/>
    <w:rsid w:val="7EAC4F8A"/>
    <w:rsid w:val="7EAE1326"/>
    <w:rsid w:val="7EBE0B74"/>
    <w:rsid w:val="7EC141E6"/>
    <w:rsid w:val="7EC918E9"/>
    <w:rsid w:val="7ED31EC3"/>
    <w:rsid w:val="7EDF6ECA"/>
    <w:rsid w:val="7EEF0C0B"/>
    <w:rsid w:val="7EF07F75"/>
    <w:rsid w:val="7EF7F316"/>
    <w:rsid w:val="7EFC3EE0"/>
    <w:rsid w:val="7F0333BC"/>
    <w:rsid w:val="7F1043C8"/>
    <w:rsid w:val="7F285CAD"/>
    <w:rsid w:val="7F376731"/>
    <w:rsid w:val="7F3866A9"/>
    <w:rsid w:val="7F3E42BD"/>
    <w:rsid w:val="7F4679A3"/>
    <w:rsid w:val="7F490CF4"/>
    <w:rsid w:val="7F4B25F2"/>
    <w:rsid w:val="7F507D30"/>
    <w:rsid w:val="7F645B60"/>
    <w:rsid w:val="7F673318"/>
    <w:rsid w:val="7F677961"/>
    <w:rsid w:val="7F685D4E"/>
    <w:rsid w:val="7F745709"/>
    <w:rsid w:val="7F7731E4"/>
    <w:rsid w:val="7F7B2B31"/>
    <w:rsid w:val="7F7D2427"/>
    <w:rsid w:val="7F7D483D"/>
    <w:rsid w:val="7F820506"/>
    <w:rsid w:val="7F944B18"/>
    <w:rsid w:val="7F951E5C"/>
    <w:rsid w:val="7FA41A25"/>
    <w:rsid w:val="7FA93ADF"/>
    <w:rsid w:val="7FAB6391"/>
    <w:rsid w:val="7FAD3D7B"/>
    <w:rsid w:val="7FAF6A36"/>
    <w:rsid w:val="7FCC36B7"/>
    <w:rsid w:val="7FCF1F18"/>
    <w:rsid w:val="7FD27FD9"/>
    <w:rsid w:val="7FD64487"/>
    <w:rsid w:val="7FD90D5A"/>
    <w:rsid w:val="7FD91D02"/>
    <w:rsid w:val="7FDC74D8"/>
    <w:rsid w:val="7FDF7381"/>
    <w:rsid w:val="7FE2372A"/>
    <w:rsid w:val="7FE87FDB"/>
    <w:rsid w:val="7FF10B28"/>
    <w:rsid w:val="7FF76F13"/>
    <w:rsid w:val="7FFF4663"/>
    <w:rsid w:val="8EFE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52FE0C-C176-40C5-A1A6-B411A4B23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Doc-title"/>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0"/>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0"/>
    <w:qFormat/>
    <w:pPr>
      <w:outlineLvl w:val="4"/>
    </w:pPr>
  </w:style>
  <w:style w:type="paragraph" w:customStyle="1" w:styleId="aff9">
    <w:name w:val="二级条标题"/>
    <w:basedOn w:val="affa"/>
    <w:next w:val="af0"/>
    <w:qFormat/>
    <w:pPr>
      <w:spacing w:beforeLines="0" w:afterLines="0"/>
      <w:outlineLvl w:val="3"/>
    </w:pPr>
  </w:style>
  <w:style w:type="paragraph" w:customStyle="1" w:styleId="affa">
    <w:name w:val="一级条标题"/>
    <w:next w:val="af0"/>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0"/>
    <w:qFormat/>
    <w:pPr>
      <w:tabs>
        <w:tab w:val="left" w:pos="720"/>
      </w:tabs>
      <w:autoSpaceDN w:val="0"/>
      <w:spacing w:beforeLines="50" w:afterLines="50"/>
      <w:ind w:left="720" w:hanging="720"/>
      <w:outlineLvl w:val="2"/>
    </w:pPr>
  </w:style>
  <w:style w:type="paragraph" w:customStyle="1" w:styleId="affc">
    <w:name w:val="附录章标题"/>
    <w:next w:val="af0"/>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e">
    <w:name w:val="章标题"/>
    <w:next w:val="af0"/>
    <w:qFormat/>
    <w:pPr>
      <w:spacing w:beforeLines="100" w:afterLines="100" w:after="200"/>
      <w:jc w:val="both"/>
      <w:outlineLvl w:val="1"/>
    </w:pPr>
    <w:rPr>
      <w:rFonts w:ascii="黑体" w:eastAsia="黑体"/>
      <w:sz w:val="21"/>
    </w:rPr>
  </w:style>
  <w:style w:type="paragraph" w:customStyle="1" w:styleId="afff">
    <w:name w:val="正文表标题"/>
    <w:next w:val="af0"/>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0">
    <w:name w:val="注："/>
    <w:next w:val="af0"/>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0"/>
    <w:qFormat/>
    <w:pPr>
      <w:tabs>
        <w:tab w:val="left" w:pos="1296"/>
      </w:tabs>
      <w:ind w:left="1296" w:hanging="1296"/>
      <w:outlineLvl w:val="6"/>
    </w:pPr>
  </w:style>
  <w:style w:type="paragraph" w:customStyle="1" w:styleId="afff2">
    <w:name w:val="附录四级条标题"/>
    <w:basedOn w:val="afff3"/>
    <w:next w:val="af0"/>
    <w:qFormat/>
    <w:pPr>
      <w:outlineLvl w:val="5"/>
    </w:pPr>
  </w:style>
  <w:style w:type="paragraph" w:customStyle="1" w:styleId="afff3">
    <w:name w:val="附录三级条标题"/>
    <w:basedOn w:val="afff4"/>
    <w:next w:val="af0"/>
    <w:qFormat/>
    <w:pPr>
      <w:tabs>
        <w:tab w:val="left" w:pos="1008"/>
      </w:tabs>
      <w:ind w:left="1008" w:hanging="1008"/>
      <w:outlineLvl w:val="4"/>
    </w:pPr>
  </w:style>
  <w:style w:type="paragraph" w:customStyle="1" w:styleId="afff4">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0"/>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1"/>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0"/>
    <w:qFormat/>
    <w:pPr>
      <w:widowControl w:val="0"/>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0"/>
    <w:next w:val="af0"/>
    <w:qFormat/>
    <w:pPr>
      <w:ind w:firstLine="360"/>
    </w:pPr>
    <w:rPr>
      <w:sz w:val="18"/>
    </w:rPr>
  </w:style>
  <w:style w:type="paragraph" w:customStyle="1" w:styleId="affffd">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0"/>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0"/>
    <w:qFormat/>
    <w:pPr>
      <w:spacing w:line="14" w:lineRule="exact"/>
      <w:ind w:left="811" w:hanging="448"/>
      <w:jc w:val="center"/>
      <w:outlineLvl w:val="0"/>
    </w:pPr>
    <w:rPr>
      <w:color w:val="FFFFFF"/>
    </w:rPr>
  </w:style>
  <w:style w:type="paragraph" w:customStyle="1" w:styleId="afffff8">
    <w:name w:val="附录图标题"/>
    <w:basedOn w:val="a"/>
    <w:next w:val="af0"/>
    <w:qFormat/>
    <w:pPr>
      <w:tabs>
        <w:tab w:val="left" w:pos="363"/>
      </w:tabs>
      <w:spacing w:beforeLines="50" w:afterLines="50"/>
      <w:jc w:val="center"/>
    </w:pPr>
    <w:rPr>
      <w:rFonts w:ascii="黑体" w:eastAsia="黑体"/>
      <w:szCs w:val="21"/>
    </w:rPr>
  </w:style>
  <w:style w:type="paragraph" w:customStyle="1" w:styleId="afffff9">
    <w:name w:val="附录标题"/>
    <w:basedOn w:val="af0"/>
    <w:next w:val="af0"/>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0"/>
    <w:next w:val="af0"/>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0"/>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ferences">
    <w:name w:val="References"/>
    <w:basedOn w:val="a"/>
    <w:qFormat/>
    <w:pPr>
      <w:tabs>
        <w:tab w:val="left" w:pos="360"/>
      </w:tabs>
      <w:spacing w:beforeLines="50" w:before="50" w:afterLines="50" w:after="60"/>
      <w:ind w:left="360" w:hanging="360"/>
    </w:pPr>
    <w:rPr>
      <w:rFonts w:eastAsia="宋体"/>
      <w:szCs w:val="16"/>
    </w:rPr>
  </w:style>
  <w:style w:type="paragraph" w:customStyle="1" w:styleId="14">
    <w:name w:val="修订1"/>
    <w:hidden/>
    <w:uiPriority w:val="99"/>
    <w:semiHidden/>
    <w:qFormat/>
    <w:pPr>
      <w:spacing w:after="0" w:line="240" w:lineRule="auto"/>
    </w:pPr>
    <w:rPr>
      <w:rFonts w:eastAsiaTheme="minorEastAsia"/>
      <w:kern w:val="2"/>
      <w:sz w:val="21"/>
      <w:szCs w:val="24"/>
    </w:rPr>
  </w:style>
  <w:style w:type="paragraph" w:styleId="afffffff4">
    <w:name w:val="List Paragraph"/>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A45515-2E98-4C82-A57A-284058BDA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2223</Words>
  <Characters>12673</Characters>
  <Application>Microsoft Office Word</Application>
  <DocSecurity>0</DocSecurity>
  <Lines>105</Lines>
  <Paragraphs>29</Paragraphs>
  <ScaleCrop>false</ScaleCrop>
  <Company>ZTE</Company>
  <LinksUpToDate>false</LinksUpToDate>
  <CharactersWithSpaces>14867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16</cp:revision>
  <cp:lastPrinted>2113-01-01T16:00:00Z</cp:lastPrinted>
  <dcterms:created xsi:type="dcterms:W3CDTF">2019-11-08T16:29:00Z</dcterms:created>
  <dcterms:modified xsi:type="dcterms:W3CDTF">2021-04-02T05:15:00Z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